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32"/>
          <w:szCs w:val="28"/>
        </w:rPr>
      </w:pPr>
      <w:r>
        <w:rPr>
          <w:rFonts w:hint="eastAsia" w:ascii="黑体" w:hAnsi="黑体" w:eastAsia="黑体"/>
          <w:sz w:val="32"/>
          <w:szCs w:val="28"/>
        </w:rPr>
        <w:t>《</w:t>
      </w:r>
      <w:r>
        <w:rPr>
          <w:rFonts w:hint="eastAsia" w:ascii="黑体" w:hAnsi="黑体" w:eastAsia="黑体"/>
          <w:sz w:val="32"/>
          <w:szCs w:val="28"/>
          <w:lang w:val="en-US" w:eastAsia="zh-CN"/>
        </w:rPr>
        <w:t>中性墨水用水性色浆</w:t>
      </w:r>
      <w:r>
        <w:rPr>
          <w:rFonts w:hint="eastAsia" w:ascii="黑体" w:hAnsi="黑体" w:eastAsia="黑体"/>
          <w:sz w:val="32"/>
          <w:szCs w:val="28"/>
        </w:rPr>
        <w:t>》“浙江制造”标准</w:t>
      </w:r>
    </w:p>
    <w:p>
      <w:pPr>
        <w:spacing w:line="500" w:lineRule="exact"/>
        <w:jc w:val="center"/>
        <w:rPr>
          <w:rFonts w:ascii="黑体" w:hAnsi="黑体" w:eastAsia="黑体"/>
          <w:sz w:val="32"/>
          <w:szCs w:val="28"/>
        </w:rPr>
      </w:pPr>
      <w:r>
        <w:rPr>
          <w:rFonts w:hint="eastAsia" w:ascii="黑体" w:hAnsi="黑体" w:eastAsia="黑体"/>
          <w:sz w:val="32"/>
          <w:szCs w:val="28"/>
          <w:lang w:val="en-US" w:eastAsia="zh-CN"/>
        </w:rPr>
        <w:t>征求意见稿</w:t>
      </w:r>
      <w:r>
        <w:rPr>
          <w:rFonts w:hint="eastAsia" w:ascii="黑体" w:hAnsi="黑体" w:eastAsia="黑体"/>
          <w:sz w:val="32"/>
          <w:szCs w:val="28"/>
        </w:rPr>
        <w:t>编制说明</w:t>
      </w:r>
    </w:p>
    <w:p>
      <w:pPr>
        <w:pStyle w:val="10"/>
        <w:numPr>
          <w:ilvl w:val="0"/>
          <w:numId w:val="0"/>
        </w:numPr>
        <w:spacing w:before="312" w:after="312"/>
        <w:jc w:val="left"/>
        <w:rPr>
          <w:rFonts w:hAnsi="黑体"/>
          <w:sz w:val="24"/>
          <w:szCs w:val="24"/>
        </w:rPr>
      </w:pPr>
      <w:r>
        <w:rPr>
          <w:rFonts w:hint="eastAsia" w:hAnsi="黑体"/>
          <w:sz w:val="24"/>
          <w:szCs w:val="24"/>
        </w:rPr>
        <w:t>1  项目背景</w:t>
      </w:r>
    </w:p>
    <w:p>
      <w:pPr>
        <w:tabs>
          <w:tab w:val="left" w:pos="2160"/>
        </w:tabs>
        <w:spacing w:line="360" w:lineRule="auto"/>
        <w:ind w:firstLine="480" w:firstLineChars="200"/>
        <w:rPr>
          <w:rFonts w:ascii="仿宋_GB2312" w:hAnsi="宋体" w:eastAsia="仿宋_GB2312"/>
          <w:color w:val="auto"/>
          <w:sz w:val="24"/>
        </w:rPr>
      </w:pPr>
      <w:r>
        <w:rPr>
          <w:rFonts w:hint="eastAsia" w:ascii="仿宋_GB2312" w:hAnsi="宋体" w:eastAsia="仿宋_GB2312" w:cs="宋体"/>
          <w:sz w:val="24"/>
          <w:szCs w:val="24"/>
        </w:rPr>
        <w:t>中性墨水用</w:t>
      </w:r>
      <w:r>
        <w:rPr>
          <w:rFonts w:ascii="仿宋_GB2312" w:hAnsi="宋体" w:eastAsia="仿宋_GB2312" w:cs="宋体"/>
          <w:sz w:val="24"/>
          <w:szCs w:val="24"/>
        </w:rPr>
        <w:t>水性色浆</w:t>
      </w:r>
      <w:r>
        <w:rPr>
          <w:rFonts w:hint="eastAsia" w:ascii="仿宋_GB2312" w:hAnsi="宋体" w:eastAsia="仿宋_GB2312" w:cs="宋体"/>
          <w:sz w:val="24"/>
          <w:szCs w:val="24"/>
        </w:rPr>
        <w:t>产品</w:t>
      </w:r>
      <w:r>
        <w:rPr>
          <w:rFonts w:hint="eastAsia" w:ascii="仿宋_GB2312" w:hAnsi="宋体" w:eastAsia="仿宋_GB2312" w:cs="宋体"/>
          <w:sz w:val="24"/>
          <w:szCs w:val="24"/>
          <w:lang w:val="en-US" w:eastAsia="zh-CN"/>
        </w:rPr>
        <w:t>是</w:t>
      </w:r>
      <w:r>
        <w:rPr>
          <w:rFonts w:ascii="仿宋_GB2312" w:hAnsi="宋体" w:eastAsia="仿宋_GB2312" w:cs="宋体"/>
          <w:sz w:val="24"/>
          <w:szCs w:val="24"/>
        </w:rPr>
        <w:t>生产中性笔墨水的主要原料之一</w:t>
      </w:r>
      <w:r>
        <w:rPr>
          <w:rFonts w:hint="eastAsia" w:ascii="仿宋_GB2312" w:hAnsi="宋体" w:eastAsia="仿宋_GB2312" w:cs="宋体"/>
          <w:sz w:val="24"/>
          <w:szCs w:val="24"/>
          <w:lang w:eastAsia="zh-CN"/>
        </w:rPr>
        <w:t>，</w:t>
      </w:r>
      <w:r>
        <w:rPr>
          <w:rFonts w:ascii="仿宋_GB2312" w:hAnsi="宋体" w:eastAsia="仿宋_GB2312" w:cs="宋体"/>
          <w:sz w:val="24"/>
          <w:szCs w:val="24"/>
        </w:rPr>
        <w:t>属于化学原料和化学制品行业细分领域颜料和填充剂产业</w:t>
      </w:r>
      <w:r>
        <w:rPr>
          <w:rFonts w:hint="eastAsia" w:ascii="仿宋_GB2312" w:hAnsi="宋体" w:eastAsia="仿宋_GB2312" w:cs="宋体"/>
          <w:sz w:val="24"/>
          <w:szCs w:val="24"/>
          <w:lang w:eastAsia="zh-CN"/>
        </w:rPr>
        <w:t>。</w:t>
      </w:r>
      <w:r>
        <w:rPr>
          <w:rFonts w:ascii="仿宋_GB2312" w:hAnsi="宋体" w:eastAsia="仿宋_GB2312" w:cs="宋体"/>
          <w:sz w:val="24"/>
          <w:szCs w:val="24"/>
        </w:rPr>
        <w:t>中性笔是目前世界上最流行的一种新颖书写笔，使用中粘度凝胶状颜料型冻胶状墨水</w:t>
      </w:r>
      <w:r>
        <w:rPr>
          <w:rFonts w:hint="eastAsia" w:ascii="仿宋_GB2312" w:hAnsi="宋体" w:eastAsia="仿宋_GB2312" w:cs="宋体"/>
          <w:sz w:val="24"/>
          <w:szCs w:val="24"/>
          <w:lang w:eastAsia="zh-CN"/>
        </w:rPr>
        <w:t>。</w:t>
      </w:r>
      <w:r>
        <w:rPr>
          <w:rFonts w:ascii="仿宋_GB2312" w:hAnsi="宋体" w:eastAsia="仿宋_GB2312" w:cs="宋体"/>
          <w:sz w:val="24"/>
          <w:szCs w:val="24"/>
        </w:rPr>
        <w:t>中性笔墨水</w:t>
      </w:r>
      <w:r>
        <w:rPr>
          <w:rFonts w:hint="eastAsia" w:ascii="仿宋_GB2312" w:hAnsi="宋体" w:eastAsia="仿宋_GB2312" w:cs="宋体"/>
          <w:sz w:val="24"/>
          <w:szCs w:val="24"/>
          <w:lang w:val="en-US" w:eastAsia="zh-CN"/>
        </w:rPr>
        <w:t>是</w:t>
      </w:r>
      <w:r>
        <w:rPr>
          <w:rFonts w:ascii="仿宋_GB2312" w:hAnsi="宋体" w:eastAsia="仿宋_GB2312" w:cs="宋体"/>
          <w:sz w:val="24"/>
          <w:szCs w:val="24"/>
        </w:rPr>
        <w:t>利用了胶体、表面活性、高分子化学等原理的高科技产品</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lang w:val="en-US" w:eastAsia="zh-CN"/>
        </w:rPr>
        <w:t>而</w:t>
      </w:r>
      <w:r>
        <w:rPr>
          <w:rFonts w:ascii="仿宋_GB2312" w:hAnsi="宋体" w:eastAsia="仿宋_GB2312" w:cs="宋体"/>
          <w:sz w:val="24"/>
          <w:szCs w:val="24"/>
        </w:rPr>
        <w:t>作为颜料和填充剂</w:t>
      </w:r>
      <w:r>
        <w:rPr>
          <w:rFonts w:hint="eastAsia" w:ascii="仿宋_GB2312" w:hAnsi="宋体" w:eastAsia="仿宋_GB2312" w:cs="宋体"/>
          <w:sz w:val="24"/>
          <w:szCs w:val="24"/>
          <w:lang w:val="en-US" w:eastAsia="zh-CN"/>
        </w:rPr>
        <w:t>的色浆</w:t>
      </w:r>
      <w:r>
        <w:rPr>
          <w:rFonts w:ascii="仿宋_GB2312" w:hAnsi="宋体" w:eastAsia="仿宋_GB2312" w:cs="宋体"/>
          <w:sz w:val="24"/>
          <w:szCs w:val="24"/>
        </w:rPr>
        <w:t>，</w:t>
      </w:r>
      <w:r>
        <w:rPr>
          <w:rFonts w:hint="eastAsia" w:ascii="仿宋_GB2312" w:hAnsi="宋体" w:eastAsia="仿宋_GB2312" w:cs="宋体"/>
          <w:sz w:val="24"/>
          <w:szCs w:val="24"/>
          <w:lang w:val="en-US" w:eastAsia="zh-CN"/>
        </w:rPr>
        <w:t>可以</w:t>
      </w:r>
      <w:r>
        <w:rPr>
          <w:rFonts w:ascii="仿宋_GB2312" w:hAnsi="宋体" w:eastAsia="仿宋_GB2312" w:cs="宋体"/>
          <w:sz w:val="24"/>
          <w:szCs w:val="24"/>
        </w:rPr>
        <w:t>确保生产后的中性笔墨水相关技术（如色差、书写性能、安全性能等）指标大大提升，是生产过程中不可缺少的原料之一</w:t>
      </w:r>
      <w:r>
        <w:rPr>
          <w:rFonts w:hint="eastAsia" w:ascii="仿宋_GB2312" w:hAnsi="宋体" w:eastAsia="仿宋_GB2312" w:cs="宋体"/>
          <w:sz w:val="24"/>
          <w:szCs w:val="24"/>
          <w:lang w:eastAsia="zh-CN"/>
        </w:rPr>
        <w:t>。</w:t>
      </w:r>
      <w:r>
        <w:rPr>
          <w:rFonts w:hint="eastAsia" w:ascii="仿宋_GB2312" w:hAnsi="宋体" w:eastAsia="仿宋_GB2312"/>
          <w:color w:val="auto"/>
          <w:sz w:val="24"/>
        </w:rPr>
        <w:t>国民经济为分类为C</w:t>
      </w:r>
      <w:r>
        <w:rPr>
          <w:rFonts w:hint="eastAsia" w:ascii="仿宋_GB2312" w:hAnsi="宋体" w:eastAsia="仿宋_GB2312"/>
          <w:color w:val="auto"/>
          <w:sz w:val="24"/>
          <w:lang w:val="en-US" w:eastAsia="zh-CN"/>
        </w:rPr>
        <w:t>2641</w:t>
      </w:r>
      <w:r>
        <w:rPr>
          <w:rFonts w:hint="eastAsia" w:ascii="仿宋_GB2312" w:hAnsi="宋体" w:eastAsia="仿宋_GB2312"/>
          <w:color w:val="auto"/>
          <w:sz w:val="24"/>
        </w:rPr>
        <w:t xml:space="preserve"> </w:t>
      </w:r>
      <w:r>
        <w:rPr>
          <w:rFonts w:hint="eastAsia" w:ascii="仿宋_GB2312" w:hAnsi="宋体" w:eastAsia="仿宋_GB2312"/>
          <w:color w:val="auto"/>
          <w:sz w:val="24"/>
          <w:lang w:val="en-US" w:eastAsia="zh-CN"/>
        </w:rPr>
        <w:t>涂料制造</w:t>
      </w:r>
      <w:r>
        <w:rPr>
          <w:rFonts w:hint="eastAsia" w:ascii="仿宋_GB2312" w:hAnsi="宋体" w:eastAsia="仿宋_GB2312"/>
          <w:color w:val="auto"/>
          <w:sz w:val="24"/>
        </w:rPr>
        <w:t>，ICS国际标准号为</w:t>
      </w:r>
      <w:r>
        <w:rPr>
          <w:rFonts w:hint="eastAsia" w:ascii="仿宋_GB2312" w:hAnsi="宋体" w:eastAsia="仿宋_GB2312"/>
          <w:color w:val="auto"/>
          <w:sz w:val="24"/>
          <w:lang w:val="en-US" w:eastAsia="zh-CN"/>
        </w:rPr>
        <w:t>87</w:t>
      </w:r>
      <w:r>
        <w:rPr>
          <w:rFonts w:hint="eastAsia" w:ascii="仿宋_GB2312" w:hAnsi="宋体" w:eastAsia="仿宋_GB2312"/>
          <w:color w:val="auto"/>
          <w:sz w:val="24"/>
        </w:rPr>
        <w:t>.0</w:t>
      </w:r>
      <w:r>
        <w:rPr>
          <w:rFonts w:hint="eastAsia" w:ascii="仿宋_GB2312" w:hAnsi="宋体" w:eastAsia="仿宋_GB2312"/>
          <w:color w:val="auto"/>
          <w:sz w:val="24"/>
          <w:lang w:val="en-US" w:eastAsia="zh-CN"/>
        </w:rPr>
        <w:t>6</w:t>
      </w:r>
      <w:r>
        <w:rPr>
          <w:rFonts w:hint="eastAsia" w:ascii="仿宋_GB2312" w:hAnsi="宋体" w:eastAsia="仿宋_GB2312"/>
          <w:color w:val="auto"/>
          <w:sz w:val="24"/>
        </w:rPr>
        <w:t>0.</w:t>
      </w:r>
      <w:r>
        <w:rPr>
          <w:rFonts w:hint="eastAsia" w:ascii="仿宋_GB2312" w:hAnsi="宋体" w:eastAsia="仿宋_GB2312"/>
          <w:color w:val="auto"/>
          <w:sz w:val="24"/>
          <w:lang w:val="en-US" w:eastAsia="zh-CN"/>
        </w:rPr>
        <w:t>1</w:t>
      </w:r>
      <w:r>
        <w:rPr>
          <w:rFonts w:hint="eastAsia" w:ascii="仿宋_GB2312" w:hAnsi="宋体" w:eastAsia="仿宋_GB2312"/>
          <w:color w:val="auto"/>
          <w:sz w:val="24"/>
        </w:rPr>
        <w:t>0，CCS中国标准号为</w:t>
      </w:r>
      <w:r>
        <w:rPr>
          <w:rFonts w:hint="eastAsia" w:ascii="仿宋_GB2312" w:hAnsi="宋体" w:eastAsia="仿宋_GB2312"/>
          <w:color w:val="auto"/>
          <w:sz w:val="24"/>
          <w:lang w:val="en-US" w:eastAsia="zh-CN"/>
        </w:rPr>
        <w:t>Z60</w:t>
      </w:r>
      <w:r>
        <w:rPr>
          <w:rFonts w:hint="eastAsia" w:ascii="仿宋_GB2312" w:hAnsi="宋体" w:eastAsia="仿宋_GB2312"/>
          <w:color w:val="auto"/>
          <w:sz w:val="24"/>
        </w:rPr>
        <w:t>。</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cs="宋体"/>
          <w:sz w:val="24"/>
          <w:szCs w:val="24"/>
        </w:rPr>
        <w:t>中国中性笔墨水的年消耗量在</w:t>
      </w:r>
      <w:r>
        <w:rPr>
          <w:rFonts w:hint="eastAsia" w:ascii="仿宋_GB2312" w:hAnsi="宋体" w:eastAsia="仿宋_GB2312" w:cs="宋体"/>
          <w:sz w:val="24"/>
          <w:szCs w:val="24"/>
          <w:lang w:val="en-US" w:eastAsia="zh-CN"/>
        </w:rPr>
        <w:t>1.5</w:t>
      </w:r>
      <w:r>
        <w:rPr>
          <w:rFonts w:ascii="仿宋_GB2312" w:hAnsi="宋体" w:eastAsia="仿宋_GB2312" w:cs="宋体"/>
          <w:sz w:val="24"/>
          <w:szCs w:val="24"/>
        </w:rPr>
        <w:t>万吨以上，主要是以颜料型为主，色浆的添加量在</w:t>
      </w:r>
      <w:r>
        <w:rPr>
          <w:rFonts w:hint="eastAsia" w:ascii="仿宋_GB2312" w:hAnsi="宋体" w:eastAsia="仿宋_GB2312" w:cs="宋体"/>
          <w:sz w:val="24"/>
          <w:szCs w:val="24"/>
          <w:lang w:val="en-US" w:eastAsia="zh-CN"/>
        </w:rPr>
        <w:t>30%</w:t>
      </w:r>
      <w:r>
        <w:rPr>
          <w:rFonts w:ascii="仿宋_GB2312" w:hAnsi="宋体" w:eastAsia="仿宋_GB2312" w:cs="宋体"/>
          <w:sz w:val="24"/>
          <w:szCs w:val="24"/>
        </w:rPr>
        <w:t>左右，即</w:t>
      </w:r>
      <w:r>
        <w:rPr>
          <w:rFonts w:hint="eastAsia" w:ascii="仿宋_GB2312" w:hAnsi="宋体" w:eastAsia="仿宋_GB2312" w:cs="宋体"/>
          <w:sz w:val="24"/>
          <w:szCs w:val="24"/>
          <w:lang w:val="en-US" w:eastAsia="zh-CN"/>
        </w:rPr>
        <w:t>0.5</w:t>
      </w:r>
      <w:r>
        <w:rPr>
          <w:rFonts w:ascii="仿宋_GB2312" w:hAnsi="宋体" w:eastAsia="仿宋_GB2312" w:cs="宋体"/>
          <w:sz w:val="24"/>
          <w:szCs w:val="24"/>
        </w:rPr>
        <w:t>万吨</w:t>
      </w:r>
      <w:r>
        <w:rPr>
          <w:rFonts w:hint="eastAsia" w:ascii="仿宋_GB2312" w:hAnsi="宋体" w:eastAsia="仿宋_GB2312" w:cs="宋体"/>
          <w:sz w:val="24"/>
          <w:szCs w:val="24"/>
          <w:lang w:val="en-US" w:eastAsia="zh-CN"/>
        </w:rPr>
        <w:t>左右</w:t>
      </w:r>
      <w:r>
        <w:rPr>
          <w:rFonts w:ascii="仿宋_GB2312" w:hAnsi="宋体" w:eastAsia="仿宋_GB2312" w:cs="宋体"/>
          <w:sz w:val="24"/>
          <w:szCs w:val="24"/>
        </w:rPr>
        <w:t>，并且近三年消耗量每年增长量在20%以上</w:t>
      </w:r>
      <w:r>
        <w:rPr>
          <w:rFonts w:hint="eastAsia" w:ascii="仿宋_GB2312" w:hAnsi="宋体" w:eastAsia="仿宋_GB2312"/>
          <w:sz w:val="24"/>
        </w:rPr>
        <w:t>。</w:t>
      </w:r>
    </w:p>
    <w:p>
      <w:pPr>
        <w:tabs>
          <w:tab w:val="left" w:pos="2160"/>
        </w:tabs>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中性笔墨水色浆的生产企业主要分布在日本、美国、韩国和德国，他们都拥有高层次的科研队伍和先进的研究设备。而我国目前使用的中性笔墨水色浆主要依赖进口，如日本的</w:t>
      </w:r>
      <w:r>
        <w:rPr>
          <w:rFonts w:ascii="仿宋_GB2312" w:hAnsi="宋体" w:eastAsia="仿宋_GB2312" w:cs="宋体"/>
          <w:sz w:val="24"/>
          <w:szCs w:val="24"/>
        </w:rPr>
        <w:t>SILOHI（新老海）公司、美国的NATIONAL（国宝）公司、韩国的S-LAND（爱思恋）公司和德国的DOKUMENTAL（文都）等公司，进口中性笔墨水色浆价格高昂。随着中性笔在国内的迅速发展，相应配套的色浆生产企业也逐渐增多，生产量、品种、各项技术指标等也逐渐增大或提升，但由于国外知名企业均是配套生产，色浆的技术指标也严格保密，国内色浆生产企业提升技</w:t>
      </w:r>
      <w:r>
        <w:rPr>
          <w:rFonts w:hint="eastAsia" w:ascii="仿宋_GB2312" w:hAnsi="宋体" w:eastAsia="仿宋_GB2312" w:cs="宋体"/>
          <w:sz w:val="24"/>
          <w:szCs w:val="24"/>
        </w:rPr>
        <w:t>术水平也相当缓慢，为此目前还无法完全取代进口中性墨水色浆。因此，按照中国制笔业发展以及市场的需求，开发研制高质量中性墨水色浆仍然具极其重要的现实意义。</w:t>
      </w:r>
    </w:p>
    <w:p>
      <w:pPr>
        <w:tabs>
          <w:tab w:val="left" w:pos="2160"/>
        </w:tabs>
        <w:spacing w:line="360" w:lineRule="auto"/>
        <w:ind w:firstLine="480" w:firstLineChars="200"/>
        <w:rPr>
          <w:rFonts w:ascii="仿宋_GB2312" w:hAnsi="宋体" w:eastAsia="仿宋_GB2312" w:cs="宋体"/>
          <w:sz w:val="24"/>
          <w:szCs w:val="24"/>
        </w:rPr>
      </w:pPr>
      <w:r>
        <w:rPr>
          <w:rFonts w:ascii="仿宋_GB2312" w:hAnsi="宋体" w:eastAsia="仿宋_GB2312" w:cs="宋体"/>
          <w:sz w:val="24"/>
          <w:szCs w:val="24"/>
        </w:rPr>
        <w:t>国内生产色浆的企业主要有苏州世名、广州科迪、杭州彩虹色浆有限公司等，色浆产量基本占国内市场份额的20%以上，但生产的色浆主要以建筑色浆、油性色浆、PVC色浆和纺织品色浆为主，中性笔色浆还是靠进口为主。</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cs="宋体"/>
          <w:sz w:val="24"/>
          <w:szCs w:val="24"/>
          <w:lang w:val="en-US" w:eastAsia="zh-CN"/>
        </w:rPr>
        <w:t>目前，在中性墨水用水性色浆领域，没有有关的国家、行业标准。国内目前已经发布的色浆有关标准主要有：HG/T 3951-2007《建筑涂料用水性色浆》、QB/T 4343-2012《合成革用水性色浆》、HG/T 4786-2014《胶乳色浆》、</w:t>
      </w:r>
      <w:r>
        <w:rPr>
          <w:rFonts w:ascii="仿宋_GB2312" w:hAnsi="宋体" w:eastAsia="仿宋_GB2312" w:cs="宋体"/>
          <w:sz w:val="24"/>
          <w:szCs w:val="24"/>
        </w:rPr>
        <w:t>T/CTES 1006-2017</w:t>
      </w:r>
      <w:r>
        <w:rPr>
          <w:rFonts w:hint="eastAsia" w:ascii="仿宋_GB2312" w:hAnsi="宋体" w:eastAsia="仿宋_GB2312" w:cs="宋体"/>
          <w:sz w:val="24"/>
          <w:szCs w:val="24"/>
          <w:lang w:eastAsia="zh-CN"/>
        </w:rPr>
        <w:t>《</w:t>
      </w:r>
      <w:r>
        <w:rPr>
          <w:rFonts w:ascii="仿宋_GB2312" w:hAnsi="宋体" w:eastAsia="仿宋_GB2312" w:cs="宋体"/>
          <w:sz w:val="24"/>
          <w:szCs w:val="24"/>
        </w:rPr>
        <w:t>粘胶原液着色用水性色浆</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CY</w:t>
      </w:r>
      <w:r>
        <w:rPr>
          <w:rFonts w:hint="eastAsia" w:ascii="仿宋_GB2312" w:hAnsi="宋体" w:eastAsia="仿宋_GB2312" w:cs="宋体"/>
          <w:sz w:val="24"/>
          <w:szCs w:val="24"/>
          <w:lang w:val="en-US" w:eastAsia="zh-CN"/>
        </w:rPr>
        <w:t>/</w:t>
      </w:r>
      <w:r>
        <w:rPr>
          <w:rFonts w:hint="eastAsia" w:ascii="仿宋_GB2312" w:hAnsi="宋体" w:eastAsia="仿宋_GB2312" w:cs="宋体"/>
          <w:sz w:val="24"/>
          <w:szCs w:val="24"/>
        </w:rPr>
        <w:t>T 205-2019</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网版印刷 纺织印花颜料色浆使用要求及检验方法</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lang w:val="en-US" w:eastAsia="zh-CN"/>
        </w:rPr>
        <w:t>等</w:t>
      </w:r>
      <w:r>
        <w:rPr>
          <w:rFonts w:hint="eastAsia" w:ascii="仿宋_GB2312" w:hAnsi="宋体" w:eastAsia="仿宋_GB2312" w:cs="宋体"/>
          <w:sz w:val="24"/>
          <w:szCs w:val="24"/>
        </w:rPr>
        <w:t>。</w:t>
      </w:r>
      <w:r>
        <w:rPr>
          <w:rFonts w:hint="eastAsia" w:ascii="仿宋_GB2312" w:hAnsi="宋体" w:eastAsia="仿宋_GB2312"/>
          <w:sz w:val="24"/>
        </w:rPr>
        <w:t>本次提出的《</w:t>
      </w:r>
      <w:r>
        <w:rPr>
          <w:rFonts w:hint="eastAsia" w:ascii="仿宋_GB2312" w:hAnsi="宋体" w:eastAsia="仿宋_GB2312"/>
          <w:sz w:val="24"/>
          <w:lang w:val="en-US" w:eastAsia="zh-CN"/>
        </w:rPr>
        <w:t>中性墨水用水性色浆</w:t>
      </w:r>
      <w:r>
        <w:rPr>
          <w:rFonts w:hint="eastAsia" w:ascii="仿宋_GB2312" w:hAnsi="宋体" w:eastAsia="仿宋_GB2312"/>
          <w:sz w:val="24"/>
        </w:rPr>
        <w:t>》“浙江制造”团体标准，</w:t>
      </w:r>
      <w:r>
        <w:rPr>
          <w:rFonts w:hint="eastAsia" w:ascii="仿宋_GB2312" w:hAnsi="宋体" w:eastAsia="仿宋_GB2312"/>
          <w:sz w:val="24"/>
          <w:lang w:val="en-US" w:eastAsia="zh-CN"/>
        </w:rPr>
        <w:t>填补国内有关领域标准的空白，</w:t>
      </w:r>
      <w:r>
        <w:rPr>
          <w:rFonts w:hint="eastAsia" w:ascii="仿宋_GB2312" w:hAnsi="宋体" w:eastAsia="仿宋_GB2312"/>
          <w:sz w:val="24"/>
        </w:rPr>
        <w:t>符合高端客户和</w:t>
      </w:r>
      <w:r>
        <w:rPr>
          <w:rFonts w:ascii="仿宋_GB2312" w:hAnsi="宋体" w:eastAsia="仿宋_GB2312"/>
          <w:sz w:val="24"/>
        </w:rPr>
        <w:t>消费者</w:t>
      </w:r>
      <w:r>
        <w:rPr>
          <w:rFonts w:hint="eastAsia" w:ascii="仿宋_GB2312" w:hAnsi="宋体" w:eastAsia="仿宋_GB2312"/>
          <w:sz w:val="24"/>
        </w:rPr>
        <w:t>的需求。</w:t>
      </w:r>
    </w:p>
    <w:p>
      <w:pPr>
        <w:pStyle w:val="10"/>
        <w:numPr>
          <w:ilvl w:val="0"/>
          <w:numId w:val="0"/>
        </w:numPr>
        <w:spacing w:before="312" w:after="312"/>
        <w:jc w:val="left"/>
        <w:rPr>
          <w:rFonts w:hAnsi="黑体"/>
          <w:sz w:val="24"/>
          <w:szCs w:val="24"/>
        </w:rPr>
      </w:pPr>
      <w:r>
        <w:rPr>
          <w:rFonts w:hint="eastAsia" w:hAnsi="黑体"/>
          <w:sz w:val="24"/>
          <w:szCs w:val="24"/>
        </w:rPr>
        <w:t>2  项目来源</w:t>
      </w:r>
    </w:p>
    <w:p>
      <w:pPr>
        <w:tabs>
          <w:tab w:val="left" w:pos="2160"/>
        </w:tabs>
        <w:spacing w:line="360" w:lineRule="auto"/>
        <w:ind w:firstLine="480" w:firstLineChars="200"/>
        <w:rPr>
          <w:rFonts w:hint="eastAsia" w:ascii="仿宋_GB2312" w:hAnsi="宋体" w:eastAsia="仿宋_GB2312"/>
          <w:sz w:val="24"/>
        </w:rPr>
      </w:pPr>
      <w:r>
        <w:rPr>
          <w:rFonts w:hint="eastAsia" w:ascii="仿宋_GB2312" w:hAnsi="宋体" w:eastAsia="仿宋_GB2312"/>
          <w:sz w:val="24"/>
        </w:rPr>
        <w:t>由</w:t>
      </w:r>
      <w:r>
        <w:rPr>
          <w:rFonts w:hint="eastAsia" w:ascii="仿宋_GB2312" w:hAnsi="宋体" w:eastAsia="仿宋_GB2312"/>
          <w:sz w:val="24"/>
          <w:lang w:val="en-US" w:eastAsia="zh-CN"/>
        </w:rPr>
        <w:t>浙江纳美新材料股份有限公司</w:t>
      </w:r>
      <w:r>
        <w:rPr>
          <w:rFonts w:hint="eastAsia" w:ascii="仿宋_GB2312" w:hAnsi="宋体" w:eastAsia="仿宋_GB2312"/>
          <w:sz w:val="24"/>
        </w:rPr>
        <w:t>向浙江省品牌建设联合会提出立项申请，经省品牌建设联合会专家答辩通过，并于2021年</w:t>
      </w:r>
      <w:r>
        <w:rPr>
          <w:rFonts w:hint="eastAsia" w:ascii="仿宋_GB2312" w:hAnsi="宋体" w:eastAsia="仿宋_GB2312"/>
          <w:sz w:val="24"/>
          <w:lang w:val="en-US" w:eastAsia="zh-CN"/>
        </w:rPr>
        <w:t>8</w:t>
      </w:r>
      <w:r>
        <w:rPr>
          <w:rFonts w:hint="eastAsia" w:ascii="仿宋_GB2312" w:hAnsi="宋体" w:eastAsia="仿宋_GB2312"/>
          <w:sz w:val="24"/>
        </w:rPr>
        <w:t>月1日印发了《关于发布202</w:t>
      </w:r>
      <w:r>
        <w:rPr>
          <w:rFonts w:hint="eastAsia" w:ascii="仿宋_GB2312" w:hAnsi="宋体" w:eastAsia="仿宋_GB2312"/>
          <w:sz w:val="24"/>
          <w:lang w:val="en-US" w:eastAsia="zh-CN"/>
        </w:rPr>
        <w:t>1</w:t>
      </w:r>
      <w:r>
        <w:rPr>
          <w:rFonts w:hint="eastAsia" w:ascii="仿宋_GB2312" w:hAnsi="宋体" w:eastAsia="仿宋_GB2312"/>
          <w:sz w:val="24"/>
        </w:rPr>
        <w:t>年第五批“浙江制造”标准制订计划的通知》（浙品联（2021）</w:t>
      </w:r>
      <w:r>
        <w:rPr>
          <w:rFonts w:hint="eastAsia" w:ascii="仿宋_GB2312" w:hAnsi="宋体" w:eastAsia="仿宋_GB2312"/>
          <w:sz w:val="24"/>
          <w:lang w:val="en-US" w:eastAsia="zh-CN"/>
        </w:rPr>
        <w:t>10</w:t>
      </w:r>
      <w:r>
        <w:rPr>
          <w:rFonts w:hint="eastAsia" w:ascii="仿宋_GB2312" w:hAnsi="宋体" w:eastAsia="仿宋_GB2312"/>
          <w:sz w:val="24"/>
        </w:rPr>
        <w:t>号），项目名称：《</w:t>
      </w:r>
      <w:r>
        <w:rPr>
          <w:rFonts w:hint="eastAsia" w:ascii="仿宋_GB2312" w:hAnsi="宋体" w:eastAsia="仿宋_GB2312"/>
          <w:sz w:val="24"/>
          <w:lang w:val="en-US" w:eastAsia="zh-CN"/>
        </w:rPr>
        <w:t>中性墨水用水性色浆</w:t>
      </w:r>
      <w:r>
        <w:rPr>
          <w:rFonts w:hint="eastAsia" w:ascii="仿宋_GB2312" w:hAnsi="宋体" w:eastAsia="仿宋_GB2312"/>
          <w:sz w:val="24"/>
        </w:rPr>
        <w:t>》。</w:t>
      </w:r>
    </w:p>
    <w:p>
      <w:pPr>
        <w:pStyle w:val="10"/>
        <w:numPr>
          <w:ilvl w:val="0"/>
          <w:numId w:val="0"/>
        </w:numPr>
        <w:spacing w:before="312" w:after="312"/>
        <w:jc w:val="left"/>
        <w:rPr>
          <w:rFonts w:hAnsi="黑体"/>
          <w:sz w:val="24"/>
          <w:szCs w:val="24"/>
        </w:rPr>
      </w:pPr>
      <w:r>
        <w:rPr>
          <w:rFonts w:hint="eastAsia" w:hAnsi="黑体"/>
          <w:sz w:val="24"/>
          <w:szCs w:val="24"/>
        </w:rPr>
        <w:t>3   标准制定工作概况</w:t>
      </w:r>
    </w:p>
    <w:p>
      <w:pPr>
        <w:pStyle w:val="10"/>
        <w:numPr>
          <w:ilvl w:val="0"/>
          <w:numId w:val="0"/>
        </w:numPr>
        <w:spacing w:before="312" w:after="312"/>
        <w:jc w:val="left"/>
        <w:rPr>
          <w:rFonts w:hAnsi="黑体"/>
          <w:sz w:val="24"/>
          <w:szCs w:val="24"/>
        </w:rPr>
      </w:pPr>
      <w:r>
        <w:rPr>
          <w:rFonts w:hint="eastAsia" w:hAnsi="黑体"/>
          <w:sz w:val="24"/>
          <w:szCs w:val="24"/>
        </w:rPr>
        <w:t>3.1  标准制定相关单位及人员</w:t>
      </w:r>
    </w:p>
    <w:p>
      <w:pPr>
        <w:tabs>
          <w:tab w:val="left" w:pos="2160"/>
        </w:tabs>
        <w:spacing w:line="360" w:lineRule="auto"/>
        <w:rPr>
          <w:rFonts w:ascii="仿宋_GB2312" w:hAnsi="宋体" w:eastAsia="仿宋_GB2312"/>
          <w:sz w:val="24"/>
        </w:rPr>
      </w:pPr>
      <w:r>
        <w:rPr>
          <w:rFonts w:hint="eastAsia" w:ascii="黑体" w:hAnsi="黑体" w:eastAsia="黑体"/>
          <w:sz w:val="24"/>
        </w:rPr>
        <w:t>3.1.1</w:t>
      </w:r>
      <w:r>
        <w:rPr>
          <w:rFonts w:hint="eastAsia" w:ascii="仿宋_GB2312" w:hAnsi="宋体" w:eastAsia="仿宋_GB2312"/>
          <w:sz w:val="24"/>
        </w:rPr>
        <w:t>本标准牵头组织制订单位：中认通标（杭州）质检技术有限公司。</w:t>
      </w:r>
    </w:p>
    <w:p>
      <w:pPr>
        <w:tabs>
          <w:tab w:val="left" w:pos="2160"/>
        </w:tabs>
        <w:spacing w:line="360" w:lineRule="auto"/>
        <w:rPr>
          <w:rFonts w:ascii="仿宋_GB2312" w:hAnsi="宋体" w:eastAsia="仿宋_GB2312"/>
          <w:sz w:val="24"/>
        </w:rPr>
      </w:pPr>
      <w:r>
        <w:rPr>
          <w:rFonts w:hint="eastAsia" w:ascii="黑体" w:hAnsi="黑体" w:eastAsia="黑体"/>
          <w:sz w:val="24"/>
        </w:rPr>
        <w:t>3.1.</w:t>
      </w:r>
      <w:r>
        <w:rPr>
          <w:rFonts w:ascii="黑体" w:hAnsi="黑体" w:eastAsia="黑体"/>
          <w:sz w:val="24"/>
        </w:rPr>
        <w:t>2</w:t>
      </w:r>
      <w:r>
        <w:rPr>
          <w:rFonts w:hint="eastAsia" w:ascii="仿宋_GB2312" w:hAnsi="宋体" w:eastAsia="仿宋_GB2312"/>
          <w:sz w:val="24"/>
        </w:rPr>
        <w:t>本标准主要起草单位：</w:t>
      </w:r>
      <w:r>
        <w:rPr>
          <w:rFonts w:hint="eastAsia" w:ascii="仿宋_GB2312" w:hAnsi="宋体" w:eastAsia="仿宋_GB2312"/>
          <w:sz w:val="24"/>
          <w:lang w:val="en-US" w:eastAsia="zh-CN"/>
        </w:rPr>
        <w:t>浙江纳美新材料股份有限公司</w:t>
      </w:r>
      <w:r>
        <w:rPr>
          <w:rFonts w:hint="eastAsia" w:ascii="仿宋_GB2312" w:hAnsi="宋体" w:eastAsia="仿宋_GB2312"/>
          <w:sz w:val="24"/>
        </w:rPr>
        <w:t>。</w:t>
      </w:r>
    </w:p>
    <w:p>
      <w:pPr>
        <w:tabs>
          <w:tab w:val="left" w:pos="2160"/>
        </w:tabs>
        <w:spacing w:line="360" w:lineRule="auto"/>
        <w:rPr>
          <w:rFonts w:ascii="仿宋_GB2312" w:hAnsi="宋体" w:eastAsia="仿宋_GB2312"/>
          <w:sz w:val="24"/>
        </w:rPr>
      </w:pPr>
      <w:r>
        <w:rPr>
          <w:rFonts w:hint="eastAsia" w:ascii="黑体" w:hAnsi="黑体" w:eastAsia="黑体"/>
          <w:sz w:val="24"/>
        </w:rPr>
        <w:t>3.1.3</w:t>
      </w:r>
      <w:r>
        <w:rPr>
          <w:rFonts w:hint="eastAsia" w:ascii="仿宋_GB2312" w:hAnsi="宋体" w:eastAsia="仿宋_GB2312"/>
          <w:sz w:val="24"/>
        </w:rPr>
        <w:t>本标准参与起草单位：</w:t>
      </w:r>
      <w:r>
        <w:rPr>
          <w:rFonts w:hint="eastAsia" w:ascii="仿宋_GB2312" w:hAnsi="宋体" w:eastAsia="仿宋_GB2312"/>
          <w:sz w:val="24"/>
          <w:lang w:val="en-US" w:eastAsia="zh-CN"/>
        </w:rPr>
        <w:t>浙江精通科技股份有限公司、安吉县质量技术监督检测中心（浙江省竹制产品质量检验中心）</w:t>
      </w:r>
      <w:r>
        <w:rPr>
          <w:rFonts w:hint="eastAsia" w:ascii="仿宋_GB2312" w:hAnsi="宋体" w:eastAsia="仿宋_GB2312"/>
          <w:sz w:val="24"/>
        </w:rPr>
        <w:t>。</w:t>
      </w:r>
    </w:p>
    <w:p>
      <w:pPr>
        <w:pStyle w:val="12"/>
        <w:spacing w:line="360" w:lineRule="auto"/>
        <w:ind w:firstLine="0" w:firstLineChars="0"/>
        <w:rPr>
          <w:rFonts w:ascii="仿宋_GB2312" w:hAnsi="宋体" w:eastAsia="仿宋_GB2312"/>
          <w:kern w:val="2"/>
          <w:sz w:val="24"/>
          <w:szCs w:val="24"/>
        </w:rPr>
      </w:pPr>
      <w:r>
        <w:rPr>
          <w:rFonts w:hint="eastAsia" w:ascii="黑体" w:hAnsi="黑体" w:eastAsia="黑体"/>
          <w:sz w:val="24"/>
        </w:rPr>
        <w:t xml:space="preserve">3.1.4 </w:t>
      </w:r>
      <w:r>
        <w:rPr>
          <w:rFonts w:hint="eastAsia" w:ascii="仿宋_GB2312" w:hAnsi="宋体" w:eastAsia="仿宋_GB2312"/>
          <w:sz w:val="24"/>
        </w:rPr>
        <w:t>本标准起草</w:t>
      </w:r>
      <w:r>
        <w:rPr>
          <w:rFonts w:hint="eastAsia" w:ascii="仿宋_GB2312" w:hAnsi="宋体" w:eastAsia="仿宋_GB2312"/>
          <w:sz w:val="24"/>
          <w:szCs w:val="22"/>
        </w:rPr>
        <w:t>人：</w:t>
      </w:r>
      <w:r>
        <w:rPr>
          <w:rFonts w:hint="eastAsia"/>
          <w:lang w:val="en-US" w:eastAsia="zh-CN"/>
        </w:rPr>
        <w:t>赵磊、何贵平、王荣文、李明峰、叶剑芬、李锐、何建伟、彭晓、杨小崔</w:t>
      </w:r>
      <w:r>
        <w:rPr>
          <w:rFonts w:hint="eastAsia" w:ascii="仿宋_GB2312" w:hAnsi="宋体" w:eastAsia="仿宋_GB2312"/>
          <w:sz w:val="24"/>
          <w:szCs w:val="22"/>
        </w:rPr>
        <w:t>。</w:t>
      </w:r>
    </w:p>
    <w:p>
      <w:pPr>
        <w:pStyle w:val="10"/>
        <w:numPr>
          <w:ilvl w:val="0"/>
          <w:numId w:val="0"/>
        </w:numPr>
        <w:spacing w:before="312" w:after="312"/>
        <w:jc w:val="left"/>
        <w:rPr>
          <w:rFonts w:hAnsi="黑体"/>
          <w:sz w:val="24"/>
          <w:szCs w:val="24"/>
        </w:rPr>
      </w:pPr>
      <w:r>
        <w:rPr>
          <w:rFonts w:hint="eastAsia" w:hAnsi="黑体"/>
          <w:sz w:val="24"/>
          <w:szCs w:val="24"/>
        </w:rPr>
        <w:t>3.2  主要工作过程</w:t>
      </w:r>
    </w:p>
    <w:p>
      <w:pPr>
        <w:spacing w:line="500" w:lineRule="exact"/>
        <w:rPr>
          <w:rFonts w:ascii="仿宋_GB2312" w:hAnsi="宋体" w:eastAsia="仿宋_GB2312"/>
          <w:sz w:val="24"/>
        </w:rPr>
      </w:pPr>
      <w:r>
        <w:rPr>
          <w:rFonts w:hint="eastAsia" w:ascii="黑体" w:hAnsi="黑体" w:eastAsia="黑体"/>
          <w:sz w:val="24"/>
        </w:rPr>
        <w:t>3.2.1</w:t>
      </w:r>
      <w:r>
        <w:rPr>
          <w:rFonts w:hint="eastAsia" w:ascii="仿宋_GB2312" w:hAnsi="宋体" w:eastAsia="仿宋_GB2312"/>
          <w:sz w:val="24"/>
        </w:rPr>
        <w:t>前期准备工作。</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浙江纳美新材料股份有限公司</w:t>
      </w:r>
      <w:r>
        <w:rPr>
          <w:rFonts w:hint="eastAsia" w:ascii="仿宋_GB2312" w:hAnsi="宋体" w:eastAsia="仿宋_GB2312"/>
          <w:sz w:val="24"/>
        </w:rPr>
        <w:t>在获得立项通知后，成立了标准起草小组，小组成员来自</w:t>
      </w:r>
      <w:r>
        <w:rPr>
          <w:rFonts w:hint="eastAsia" w:ascii="仿宋_GB2312" w:hAnsi="宋体" w:eastAsia="仿宋_GB2312"/>
          <w:sz w:val="24"/>
          <w:lang w:val="en-US" w:eastAsia="zh-CN"/>
        </w:rPr>
        <w:t>浙江纳美新材料股份有限公司</w:t>
      </w:r>
      <w:r>
        <w:rPr>
          <w:rFonts w:hint="eastAsia" w:ascii="仿宋_GB2312" w:hAnsi="宋体" w:eastAsia="仿宋_GB2312"/>
          <w:sz w:val="24"/>
        </w:rPr>
        <w:t>、</w:t>
      </w:r>
      <w:r>
        <w:rPr>
          <w:rFonts w:hint="eastAsia" w:ascii="仿宋_GB2312" w:hAnsi="宋体" w:eastAsia="仿宋_GB2312"/>
          <w:sz w:val="24"/>
          <w:lang w:val="en-US" w:eastAsia="zh-CN"/>
        </w:rPr>
        <w:t>浙江精通科技股份有限公司、安吉县质量技术监督检测中心（浙江省竹制产品质量检验中心）</w:t>
      </w:r>
      <w:r>
        <w:rPr>
          <w:rFonts w:hint="eastAsia" w:ascii="仿宋_GB2312" w:hAnsi="宋体" w:eastAsia="仿宋_GB2312"/>
          <w:sz w:val="24"/>
        </w:rPr>
        <w:t>，并确定了工作计划和研制思路。</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标准起草小组收集了国内外相关标准和资料，包含:</w:t>
      </w:r>
      <w:r>
        <w:rPr>
          <w:rFonts w:hint="eastAsia" w:ascii="仿宋_GB2312" w:hAnsi="宋体" w:eastAsia="仿宋_GB2312" w:cs="宋体"/>
          <w:sz w:val="24"/>
          <w:szCs w:val="24"/>
          <w:lang w:val="en-US" w:eastAsia="zh-CN"/>
        </w:rPr>
        <w:t>HG/T 3951-2007《建筑涂料用水性色浆》、QB/T 4343-2012《合成革用水性色浆》、HG/T 4786-2014《胶乳色浆》、</w:t>
      </w:r>
      <w:r>
        <w:rPr>
          <w:rFonts w:ascii="仿宋_GB2312" w:hAnsi="宋体" w:eastAsia="仿宋_GB2312" w:cs="宋体"/>
          <w:sz w:val="24"/>
          <w:szCs w:val="24"/>
        </w:rPr>
        <w:t>T/CTES 1006-2017</w:t>
      </w:r>
      <w:r>
        <w:rPr>
          <w:rFonts w:hint="eastAsia" w:ascii="仿宋_GB2312" w:hAnsi="宋体" w:eastAsia="仿宋_GB2312" w:cs="宋体"/>
          <w:sz w:val="24"/>
          <w:szCs w:val="24"/>
          <w:lang w:eastAsia="zh-CN"/>
        </w:rPr>
        <w:t>《</w:t>
      </w:r>
      <w:r>
        <w:rPr>
          <w:rFonts w:ascii="仿宋_GB2312" w:hAnsi="宋体" w:eastAsia="仿宋_GB2312" w:cs="宋体"/>
          <w:sz w:val="24"/>
          <w:szCs w:val="24"/>
        </w:rPr>
        <w:t>粘胶原液着色用水性色浆</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CY</w:t>
      </w:r>
      <w:r>
        <w:rPr>
          <w:rFonts w:hint="eastAsia" w:ascii="仿宋_GB2312" w:hAnsi="宋体" w:eastAsia="仿宋_GB2312" w:cs="宋体"/>
          <w:sz w:val="24"/>
          <w:szCs w:val="24"/>
          <w:lang w:val="en-US" w:eastAsia="zh-CN"/>
        </w:rPr>
        <w:t>/</w:t>
      </w:r>
      <w:r>
        <w:rPr>
          <w:rFonts w:hint="eastAsia" w:ascii="仿宋_GB2312" w:hAnsi="宋体" w:eastAsia="仿宋_GB2312" w:cs="宋体"/>
          <w:sz w:val="24"/>
          <w:szCs w:val="24"/>
        </w:rPr>
        <w:t>T 205-2019</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网版印刷 纺织印花颜料色浆使用要求及检验方法</w:t>
      </w:r>
      <w:r>
        <w:rPr>
          <w:rFonts w:hint="eastAsia" w:ascii="仿宋_GB2312" w:hAnsi="宋体" w:eastAsia="仿宋_GB2312" w:cs="宋体"/>
          <w:sz w:val="24"/>
          <w:szCs w:val="24"/>
          <w:lang w:eastAsia="zh-CN"/>
        </w:rPr>
        <w:t>》</w:t>
      </w:r>
      <w:r>
        <w:rPr>
          <w:rFonts w:hint="eastAsia" w:ascii="仿宋_GB2312" w:hAnsi="宋体" w:eastAsia="仿宋_GB2312"/>
          <w:sz w:val="24"/>
        </w:rPr>
        <w:t>等，并组织开展了企业的研发设计、选材、工艺、检验和装备能力的调</w:t>
      </w:r>
      <w:r>
        <w:rPr>
          <w:rFonts w:hint="eastAsia" w:ascii="仿宋_GB2312" w:hAnsi="宋体" w:eastAsia="仿宋_GB2312" w:cs="宋体"/>
          <w:sz w:val="24"/>
          <w:szCs w:val="24"/>
          <w:lang w:val="en-US" w:eastAsia="zh-CN"/>
        </w:rPr>
        <w:t>研，对细度（粒径）、pH值偏差、相对着色强度等多个项目的数据进行测试，从而确定标准框架。</w:t>
      </w:r>
    </w:p>
    <w:p>
      <w:pPr>
        <w:pStyle w:val="10"/>
        <w:numPr>
          <w:ilvl w:val="0"/>
          <w:numId w:val="0"/>
        </w:numPr>
        <w:spacing w:before="312" w:after="312"/>
        <w:jc w:val="left"/>
        <w:rPr>
          <w:rFonts w:hAnsi="黑体"/>
          <w:sz w:val="24"/>
          <w:szCs w:val="24"/>
        </w:rPr>
      </w:pPr>
      <w:r>
        <w:rPr>
          <w:rFonts w:hint="eastAsia" w:hAnsi="黑体"/>
          <w:sz w:val="24"/>
          <w:szCs w:val="24"/>
        </w:rPr>
        <w:t>3.2.2标准草案研制</w:t>
      </w:r>
    </w:p>
    <w:p>
      <w:pPr>
        <w:spacing w:line="360" w:lineRule="auto"/>
        <w:ind w:firstLine="480" w:firstLineChars="200"/>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标准起草小组以国内外相关标准和资料为基础，参照QB/T4343-2012《合成革用水性色浆》标准的格式与参数，对标国内各品牌的先进产品，分析各项目指标的合理性和可行性，按照“浙江制造”标准研制要求，增加了基本要求(研发设计、原辅材料、工艺与设备、检验检测)、质量承诺等方面的内容。经过标准起草小组共同努力，于2021年7月形成了标准草案。于2021年8月7日在牵头单位中认通标（杭州）质检技术有限公司的组织下召开了标准研讨会。</w:t>
      </w:r>
    </w:p>
    <w:p>
      <w:pPr>
        <w:spacing w:line="360" w:lineRule="auto"/>
        <w:ind w:firstLine="480" w:firstLineChars="200"/>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研讨会上，专家听取了标准起草小组关于本标准研制的背景、立项过程，标准研制过程等，重点对标准讨论稿、编制说明进行了详细的解读和讨论，专家组形成如下意见：</w:t>
      </w:r>
    </w:p>
    <w:p>
      <w:pPr>
        <w:numPr>
          <w:ilvl w:val="0"/>
          <w:numId w:val="3"/>
        </w:numPr>
        <w:spacing w:line="360" w:lineRule="auto"/>
        <w:ind w:firstLine="480" w:firstLineChars="200"/>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索引表述要按照最新格式要求编写；</w:t>
      </w:r>
    </w:p>
    <w:p>
      <w:pPr>
        <w:numPr>
          <w:ilvl w:val="0"/>
          <w:numId w:val="3"/>
        </w:numPr>
        <w:spacing w:line="360" w:lineRule="auto"/>
        <w:ind w:firstLine="480" w:firstLineChars="200"/>
        <w:rPr>
          <w:rFonts w:hint="default"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标准中所有关于“本标准....”的表述改为“本文件....”；</w:t>
      </w:r>
    </w:p>
    <w:p>
      <w:pPr>
        <w:numPr>
          <w:ilvl w:val="0"/>
          <w:numId w:val="3"/>
        </w:numPr>
        <w:spacing w:line="360" w:lineRule="auto"/>
        <w:ind w:firstLine="480" w:firstLineChars="200"/>
        <w:rPr>
          <w:rFonts w:hint="default"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术语和定义如果引用，直接注明；</w:t>
      </w:r>
    </w:p>
    <w:p>
      <w:pPr>
        <w:numPr>
          <w:ilvl w:val="0"/>
          <w:numId w:val="3"/>
        </w:numPr>
        <w:spacing w:line="360" w:lineRule="auto"/>
        <w:ind w:firstLine="480" w:firstLineChars="200"/>
        <w:rPr>
          <w:rFonts w:hint="default"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基本要求中，设计研发删除检验检测相关内容、工艺装备对装备描述更加需更加具体、检验检测应按照实际能力描述。</w:t>
      </w:r>
    </w:p>
    <w:p>
      <w:pPr>
        <w:numPr>
          <w:ilvl w:val="0"/>
          <w:numId w:val="3"/>
        </w:numPr>
        <w:spacing w:line="360" w:lineRule="auto"/>
        <w:ind w:firstLine="480" w:firstLineChars="200"/>
        <w:rPr>
          <w:rFonts w:hint="default"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技术要求中，表格内容里填写需规范；</w:t>
      </w:r>
    </w:p>
    <w:p>
      <w:pPr>
        <w:numPr>
          <w:ilvl w:val="0"/>
          <w:numId w:val="3"/>
        </w:numPr>
        <w:spacing w:line="360" w:lineRule="auto"/>
        <w:ind w:firstLine="480" w:firstLineChars="200"/>
        <w:rPr>
          <w:rFonts w:hint="default"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部分专用代号大小写要区分清楚；</w:t>
      </w:r>
    </w:p>
    <w:p>
      <w:pPr>
        <w:numPr>
          <w:ilvl w:val="0"/>
          <w:numId w:val="3"/>
        </w:numPr>
        <w:spacing w:line="360" w:lineRule="auto"/>
        <w:ind w:firstLine="480" w:firstLineChars="200"/>
        <w:rPr>
          <w:rFonts w:hint="default"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实验方法部分描述需统一，均改为：按XXX的规定进行（测定/试验）</w:t>
      </w:r>
    </w:p>
    <w:p>
      <w:pPr>
        <w:numPr>
          <w:ilvl w:val="0"/>
          <w:numId w:val="3"/>
        </w:numPr>
        <w:spacing w:line="360" w:lineRule="auto"/>
        <w:ind w:firstLine="480" w:firstLineChars="200"/>
        <w:rPr>
          <w:rFonts w:hint="default"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检验规则中批次和组批应属同一概念，需进行调整</w:t>
      </w:r>
    </w:p>
    <w:p>
      <w:pPr>
        <w:pStyle w:val="10"/>
        <w:numPr>
          <w:ilvl w:val="0"/>
          <w:numId w:val="0"/>
        </w:numPr>
        <w:spacing w:before="312" w:after="312"/>
        <w:jc w:val="left"/>
        <w:rPr>
          <w:rFonts w:hint="eastAsia" w:hAnsi="黑体"/>
          <w:sz w:val="24"/>
          <w:szCs w:val="24"/>
          <w:lang w:val="en-US" w:eastAsia="zh-CN"/>
        </w:rPr>
      </w:pPr>
      <w:r>
        <w:rPr>
          <w:rFonts w:hint="eastAsia" w:hAnsi="黑体"/>
          <w:sz w:val="24"/>
          <w:szCs w:val="24"/>
          <w:lang w:val="en-US" w:eastAsia="zh-CN"/>
        </w:rPr>
        <w:t>3.2.3 标准征求意见稿</w:t>
      </w:r>
    </w:p>
    <w:p>
      <w:pPr>
        <w:spacing w:line="360" w:lineRule="auto"/>
        <w:rPr>
          <w:rFonts w:hint="default" w:ascii="仿宋_GB2312" w:hAnsi="宋体" w:eastAsia="仿宋_GB2312" w:cs="宋体"/>
          <w:kern w:val="2"/>
          <w:sz w:val="24"/>
          <w:szCs w:val="24"/>
          <w:lang w:val="en-US" w:eastAsia="zh-CN" w:bidi="ar-SA"/>
        </w:rPr>
      </w:pPr>
      <w:r>
        <w:rPr>
          <w:rFonts w:hint="eastAsia" w:hAnsi="黑体"/>
          <w:sz w:val="24"/>
          <w:szCs w:val="24"/>
          <w:lang w:val="en-US" w:eastAsia="zh-CN"/>
        </w:rPr>
        <w:t xml:space="preserve">  </w:t>
      </w:r>
      <w:r>
        <w:rPr>
          <w:rFonts w:hint="eastAsia" w:ascii="仿宋_GB2312" w:hAnsi="宋体" w:eastAsia="仿宋_GB2312" w:cs="宋体"/>
          <w:kern w:val="2"/>
          <w:sz w:val="24"/>
          <w:szCs w:val="24"/>
          <w:lang w:val="en-US" w:eastAsia="zh-CN" w:bidi="ar-SA"/>
        </w:rPr>
        <w:t xml:space="preserve">  标准起草小组，在认真听取了专家意见，并参照QB/T4343-2012《合成革用水性色浆》标准的格式与参数，对标国内各品牌的先进产品，分析各项目指标的合理性和可行性后，于2021年8月8日，形成了标准征求意见稿。并按照有关要求，对标准征求意见稿进行发放，广泛征集高校、科研院所、检测机构、行业专家、同行企业、用户的意见。</w:t>
      </w:r>
    </w:p>
    <w:p>
      <w:pPr>
        <w:pStyle w:val="10"/>
        <w:numPr>
          <w:ilvl w:val="0"/>
          <w:numId w:val="0"/>
        </w:numPr>
        <w:spacing w:before="312" w:after="312"/>
        <w:jc w:val="left"/>
        <w:rPr>
          <w:rFonts w:hAnsi="黑体"/>
          <w:sz w:val="24"/>
          <w:szCs w:val="24"/>
        </w:rPr>
      </w:pPr>
      <w:r>
        <w:rPr>
          <w:rFonts w:hint="eastAsia" w:hAnsi="黑体"/>
          <w:sz w:val="24"/>
          <w:szCs w:val="24"/>
        </w:rPr>
        <w:t>4  标准编制原则、主要内容及确定依据</w:t>
      </w:r>
    </w:p>
    <w:p>
      <w:pPr>
        <w:pStyle w:val="10"/>
        <w:numPr>
          <w:ilvl w:val="0"/>
          <w:numId w:val="0"/>
        </w:numPr>
        <w:spacing w:before="312" w:after="312"/>
        <w:jc w:val="left"/>
        <w:rPr>
          <w:rFonts w:hAnsi="黑体"/>
          <w:sz w:val="24"/>
          <w:szCs w:val="24"/>
        </w:rPr>
      </w:pPr>
      <w:r>
        <w:rPr>
          <w:rFonts w:hint="eastAsia" w:hAnsi="黑体"/>
          <w:sz w:val="24"/>
          <w:szCs w:val="24"/>
        </w:rPr>
        <w:t>4.1  编制原则</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标准编制遵循“合规性、必要性、先进性、经济性、可操作性”的原则，严格按照GB/T 1.1-2020《标准化工作导则第1部分：标准的结构和编写》的规定进行编写和表述，主要参考</w:t>
      </w:r>
      <w:r>
        <w:rPr>
          <w:rFonts w:hint="eastAsia" w:ascii="仿宋_GB2312" w:hAnsi="宋体" w:eastAsia="仿宋_GB2312" w:cs="宋体"/>
          <w:kern w:val="2"/>
          <w:sz w:val="24"/>
          <w:szCs w:val="24"/>
          <w:lang w:val="en-US" w:eastAsia="zh-CN" w:bidi="ar-SA"/>
        </w:rPr>
        <w:t>QB/T4343-2012《合成革用水性色浆》标准的格式与条款参数</w:t>
      </w:r>
      <w:r>
        <w:rPr>
          <w:rFonts w:hint="eastAsia" w:ascii="仿宋_GB2312" w:hAnsi="宋体" w:eastAsia="仿宋_GB2312"/>
          <w:sz w:val="24"/>
        </w:rPr>
        <w:t>，同时结合考虑国外高端客户要求，注重标准的可操作性。</w:t>
      </w:r>
    </w:p>
    <w:p>
      <w:pPr>
        <w:tabs>
          <w:tab w:val="left" w:pos="2160"/>
        </w:tabs>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1）合规性</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本标准的编制遵循合规性原则，标准起草小组根据GB/T 1.1—2020《标准化工作导则第1部分：标准的结构和编写》编制标准草案。标准起草小组对产品市场做了充分的调研和分析，参照行业标准的技术</w:t>
      </w:r>
      <w:r>
        <w:rPr>
          <w:rFonts w:hint="eastAsia" w:ascii="仿宋_GB2312" w:hAnsi="宋体" w:eastAsia="仿宋_GB2312"/>
          <w:sz w:val="24"/>
          <w:lang w:val="en-US" w:eastAsia="zh-CN"/>
        </w:rPr>
        <w:t>条目进行编制</w:t>
      </w:r>
      <w:r>
        <w:rPr>
          <w:rFonts w:hint="eastAsia" w:ascii="仿宋_GB2312" w:hAnsi="宋体" w:eastAsia="仿宋_GB2312"/>
          <w:sz w:val="24"/>
        </w:rPr>
        <w:t xml:space="preserve">。 </w:t>
      </w:r>
    </w:p>
    <w:p>
      <w:pPr>
        <w:tabs>
          <w:tab w:val="left" w:pos="2160"/>
        </w:tabs>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2）必要性</w:t>
      </w:r>
    </w:p>
    <w:p>
      <w:pPr>
        <w:tabs>
          <w:tab w:val="left" w:pos="2160"/>
        </w:tabs>
        <w:spacing w:line="360" w:lineRule="auto"/>
        <w:ind w:firstLine="480" w:firstLineChars="200"/>
        <w:rPr>
          <w:rFonts w:hint="default" w:ascii="仿宋_GB2312" w:hAnsi="宋体" w:eastAsia="仿宋_GB2312"/>
          <w:sz w:val="24"/>
          <w:lang w:val="en-US" w:eastAsia="zh-CN"/>
        </w:rPr>
      </w:pPr>
      <w:r>
        <w:rPr>
          <w:rFonts w:hint="eastAsia" w:ascii="仿宋_GB2312" w:hAnsi="宋体" w:eastAsia="仿宋_GB2312" w:cs="宋体"/>
          <w:sz w:val="24"/>
          <w:szCs w:val="24"/>
          <w:lang w:val="en-US" w:eastAsia="zh-CN"/>
        </w:rPr>
        <w:t>目前，在中性墨水用水性色浆领域，没有有关的国家、行业标准。而色浆质量的好坏严重影响了中性笔墨水的质量</w:t>
      </w:r>
      <w:r>
        <w:rPr>
          <w:rFonts w:hint="eastAsia" w:ascii="仿宋_GB2312" w:hAnsi="宋体" w:eastAsia="仿宋_GB2312"/>
          <w:sz w:val="24"/>
        </w:rPr>
        <w:t>。</w:t>
      </w:r>
      <w:r>
        <w:rPr>
          <w:rFonts w:hint="eastAsia" w:ascii="仿宋_GB2312" w:hAnsi="宋体" w:eastAsia="仿宋_GB2312"/>
          <w:sz w:val="24"/>
          <w:lang w:val="en-US" w:eastAsia="zh-CN"/>
        </w:rPr>
        <w:t>为加快产业的发展，需要尽快提出《中性墨水用水性色浆》的标准，填补有关领域标准的空白。</w:t>
      </w:r>
    </w:p>
    <w:p>
      <w:pPr>
        <w:tabs>
          <w:tab w:val="left" w:pos="2160"/>
        </w:tabs>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3）先进</w:t>
      </w:r>
      <w:r>
        <w:rPr>
          <w:rFonts w:hint="eastAsia" w:ascii="仿宋_GB2312" w:hAnsi="仿宋_GB2312" w:eastAsia="仿宋_GB2312" w:cs="仿宋_GB2312"/>
          <w:sz w:val="24"/>
          <w:lang w:val="en-US" w:eastAsia="zh-CN"/>
        </w:rPr>
        <w:t>性</w:t>
      </w:r>
    </w:p>
    <w:p>
      <w:pPr>
        <w:tabs>
          <w:tab w:val="left" w:pos="2160"/>
        </w:tabs>
        <w:spacing w:line="360" w:lineRule="auto"/>
        <w:ind w:firstLine="480" w:firstLineChars="200"/>
        <w:rPr>
          <w:rFonts w:hint="eastAsia" w:ascii="仿宋_GB2312" w:hAnsi="宋体" w:eastAsia="仿宋_GB2312" w:cs="Times New Roman"/>
          <w:sz w:val="24"/>
        </w:rPr>
      </w:pPr>
      <w:r>
        <w:rPr>
          <w:rFonts w:hint="eastAsia" w:ascii="仿宋_GB2312" w:hAnsi="宋体" w:eastAsia="仿宋_GB2312"/>
          <w:sz w:val="24"/>
        </w:rPr>
        <w:t>标准起草小组查询了国内外的资料，依据</w:t>
      </w:r>
      <w:r>
        <w:rPr>
          <w:rFonts w:hint="eastAsia" w:ascii="仿宋_GB2312" w:hAnsi="宋体" w:eastAsia="仿宋_GB2312" w:cs="宋体"/>
          <w:kern w:val="2"/>
          <w:sz w:val="24"/>
          <w:szCs w:val="24"/>
          <w:lang w:val="en-US" w:eastAsia="zh-CN" w:bidi="ar-SA"/>
        </w:rPr>
        <w:t>QB/T4343-2012《合成革用水性色浆》</w:t>
      </w:r>
      <w:r>
        <w:rPr>
          <w:rFonts w:hint="eastAsia" w:ascii="仿宋_GB2312" w:hAnsi="宋体" w:eastAsia="仿宋_GB2312"/>
          <w:sz w:val="24"/>
        </w:rPr>
        <w:t>标准，参考</w:t>
      </w:r>
      <w:r>
        <w:rPr>
          <w:rFonts w:hint="eastAsia" w:ascii="仿宋_GB2312" w:hAnsi="宋体" w:eastAsia="仿宋_GB2312"/>
          <w:sz w:val="24"/>
          <w:lang w:val="en-US" w:eastAsia="zh-CN"/>
        </w:rPr>
        <w:t>竞品的企业标准</w:t>
      </w:r>
      <w:r>
        <w:rPr>
          <w:rFonts w:hint="eastAsia" w:ascii="仿宋_GB2312" w:hAnsi="宋体" w:eastAsia="仿宋_GB2312"/>
          <w:sz w:val="24"/>
        </w:rPr>
        <w:t>，同时结合我司多年生产与国内外客户的实践经验，</w:t>
      </w:r>
      <w:r>
        <w:rPr>
          <w:rFonts w:hint="eastAsia" w:ascii="仿宋_GB2312" w:hAnsi="宋体" w:eastAsia="仿宋_GB2312"/>
          <w:sz w:val="24"/>
          <w:lang w:val="en-US" w:eastAsia="zh-CN"/>
        </w:rPr>
        <w:t>制定符</w:t>
      </w:r>
      <w:r>
        <w:rPr>
          <w:rFonts w:hint="eastAsia" w:ascii="仿宋_GB2312" w:hAnsi="宋体" w:eastAsia="仿宋_GB2312" w:cs="Times New Roman"/>
          <w:sz w:val="24"/>
          <w:lang w:val="en-US" w:eastAsia="zh-CN"/>
        </w:rPr>
        <w:t>合产业链发展，和高端客户的需求的特性指标，</w:t>
      </w:r>
      <w:r>
        <w:rPr>
          <w:rFonts w:hint="eastAsia" w:ascii="仿宋_GB2312" w:hAnsi="宋体" w:eastAsia="仿宋_GB2312" w:cs="Times New Roman"/>
          <w:sz w:val="24"/>
        </w:rPr>
        <w:t>先进性体现在：</w:t>
      </w:r>
    </w:p>
    <w:p>
      <w:pPr>
        <w:tabs>
          <w:tab w:val="left" w:pos="2160"/>
        </w:tabs>
        <w:spacing w:line="360" w:lineRule="auto"/>
        <w:ind w:firstLine="480" w:firstLineChars="200"/>
        <w:rPr>
          <w:rFonts w:hint="eastAsia" w:ascii="仿宋_GB2312" w:hAnsi="宋体" w:eastAsia="仿宋_GB2312" w:cs="Times New Roman"/>
          <w:sz w:val="24"/>
          <w:lang w:val="en-US" w:eastAsia="zh-CN"/>
        </w:rPr>
      </w:pPr>
      <w:r>
        <w:rPr>
          <w:rFonts w:hint="default" w:ascii="仿宋_GB2312" w:hAnsi="宋体" w:eastAsia="仿宋_GB2312" w:cs="Times New Roman"/>
          <w:sz w:val="24"/>
          <w:lang w:val="en-US" w:eastAsia="zh-CN"/>
        </w:rPr>
        <w:t>①</w:t>
      </w:r>
      <w:r>
        <w:rPr>
          <w:rFonts w:hint="eastAsia" w:ascii="仿宋_GB2312" w:hAnsi="宋体" w:eastAsia="仿宋_GB2312" w:cs="Times New Roman"/>
          <w:sz w:val="24"/>
          <w:lang w:val="en-US" w:eastAsia="zh-CN"/>
        </w:rPr>
        <w:t>粒径更小（≤0.5um）；</w:t>
      </w:r>
    </w:p>
    <w:p>
      <w:pPr>
        <w:tabs>
          <w:tab w:val="left" w:pos="2160"/>
        </w:tabs>
        <w:spacing w:line="360" w:lineRule="auto"/>
        <w:ind w:firstLine="480" w:firstLineChars="200"/>
        <w:rPr>
          <w:rFonts w:hint="eastAsia" w:ascii="仿宋_GB2312" w:hAnsi="宋体" w:eastAsia="仿宋_GB2312" w:cs="Times New Roman"/>
          <w:sz w:val="24"/>
          <w:lang w:val="en-US" w:eastAsia="zh-CN"/>
        </w:rPr>
      </w:pPr>
      <w:r>
        <w:rPr>
          <w:rFonts w:hint="default" w:ascii="仿宋_GB2312" w:hAnsi="宋体" w:eastAsia="仿宋_GB2312" w:cs="Times New Roman"/>
          <w:sz w:val="24"/>
          <w:lang w:val="en-US" w:eastAsia="zh-CN"/>
        </w:rPr>
        <w:t>②</w:t>
      </w:r>
      <w:r>
        <w:rPr>
          <w:rFonts w:hint="eastAsia" w:ascii="仿宋_GB2312" w:hAnsi="宋体" w:eastAsia="仿宋_GB2312" w:cs="Times New Roman"/>
          <w:sz w:val="24"/>
          <w:lang w:val="en-US" w:eastAsia="zh-CN"/>
        </w:rPr>
        <w:t>更精确的pH值偏；</w:t>
      </w:r>
    </w:p>
    <w:p>
      <w:pPr>
        <w:tabs>
          <w:tab w:val="left" w:pos="2160"/>
        </w:tabs>
        <w:spacing w:line="360" w:lineRule="auto"/>
        <w:ind w:firstLine="480" w:firstLineChars="200"/>
        <w:rPr>
          <w:rFonts w:hint="eastAsia" w:ascii="仿宋_GB2312" w:hAnsi="宋体" w:eastAsia="仿宋_GB2312" w:cs="Times New Roman"/>
          <w:sz w:val="24"/>
          <w:lang w:val="en-US" w:eastAsia="zh-CN"/>
        </w:rPr>
      </w:pPr>
      <w:r>
        <w:rPr>
          <w:rFonts w:hint="default" w:ascii="仿宋_GB2312" w:hAnsi="宋体" w:eastAsia="仿宋_GB2312" w:cs="Times New Roman"/>
          <w:sz w:val="24"/>
          <w:lang w:val="en-US" w:eastAsia="zh-CN"/>
        </w:rPr>
        <w:t>③</w:t>
      </w:r>
      <w:r>
        <w:rPr>
          <w:rFonts w:hint="eastAsia" w:ascii="仿宋_GB2312" w:hAnsi="宋体" w:eastAsia="仿宋_GB2312" w:cs="Times New Roman"/>
          <w:sz w:val="24"/>
          <w:lang w:val="en-US" w:eastAsia="zh-CN"/>
        </w:rPr>
        <w:t>更加严格的安全性能要求，符合顾客对高端服装的要求。</w:t>
      </w:r>
    </w:p>
    <w:p>
      <w:pPr>
        <w:tabs>
          <w:tab w:val="left" w:pos="2160"/>
        </w:tabs>
        <w:spacing w:line="360" w:lineRule="auto"/>
        <w:ind w:firstLine="480" w:firstLineChars="200"/>
        <w:rPr>
          <w:rFonts w:hint="eastAsia" w:ascii="仿宋_GB2312" w:hAnsi="宋体" w:eastAsia="仿宋_GB2312" w:cs="Times New Roman"/>
          <w:sz w:val="24"/>
        </w:rPr>
      </w:pPr>
      <w:r>
        <w:rPr>
          <w:rFonts w:hint="eastAsia" w:ascii="仿宋_GB2312" w:hAnsi="宋体" w:eastAsia="仿宋_GB2312" w:cs="Times New Roman"/>
          <w:sz w:val="24"/>
        </w:rPr>
        <w:t>4）经济性</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标准要求本着经济不增加过多成本的要求，所有指标均与高端客户需求相关，本标准提出的先进性指标，适合市场需求，高端产品与市场价格相符。</w:t>
      </w:r>
    </w:p>
    <w:p>
      <w:pPr>
        <w:tabs>
          <w:tab w:val="left" w:pos="2160"/>
        </w:tabs>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5）可操作性</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标准的技术要求均有对应的检测方法，且可由第三方实验室进行检测，检测方法都有相应的国家标准支撑，同时进行设计验证。企业应具备产品基础性检测能力，有能力自主把控产品质量。</w:t>
      </w:r>
    </w:p>
    <w:p>
      <w:pPr>
        <w:pStyle w:val="10"/>
        <w:numPr>
          <w:ilvl w:val="0"/>
          <w:numId w:val="0"/>
        </w:numPr>
        <w:spacing w:before="312" w:after="312"/>
        <w:jc w:val="left"/>
        <w:rPr>
          <w:rFonts w:hAnsi="黑体"/>
          <w:sz w:val="24"/>
          <w:szCs w:val="24"/>
        </w:rPr>
      </w:pPr>
      <w:r>
        <w:rPr>
          <w:rFonts w:hint="eastAsia" w:hAnsi="黑体"/>
          <w:sz w:val="24"/>
          <w:szCs w:val="24"/>
        </w:rPr>
        <w:t>4.2  主要内容</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本标准主要内容包括术语和定义、基本要求（设计研发、原辅材料、工艺和</w:t>
      </w:r>
      <w:r>
        <w:rPr>
          <w:rFonts w:hint="eastAsia" w:ascii="仿宋_GB2312" w:hAnsi="宋体" w:eastAsia="仿宋_GB2312"/>
          <w:sz w:val="24"/>
          <w:lang w:val="en-US" w:eastAsia="zh-CN"/>
        </w:rPr>
        <w:t>装备</w:t>
      </w:r>
      <w:r>
        <w:rPr>
          <w:rFonts w:hint="eastAsia" w:ascii="仿宋_GB2312" w:hAnsi="宋体" w:eastAsia="仿宋_GB2312"/>
          <w:sz w:val="24"/>
        </w:rPr>
        <w:t>、检验检测）、技术要求、试验方法、检验规则、标志、包装、运输及贮存和质量承诺等内容。</w:t>
      </w:r>
    </w:p>
    <w:p>
      <w:pPr>
        <w:pStyle w:val="10"/>
        <w:numPr>
          <w:ilvl w:val="0"/>
          <w:numId w:val="0"/>
        </w:numPr>
        <w:spacing w:before="312" w:after="312"/>
        <w:jc w:val="left"/>
        <w:rPr>
          <w:rFonts w:hAnsi="黑体"/>
          <w:sz w:val="24"/>
          <w:szCs w:val="24"/>
        </w:rPr>
      </w:pPr>
      <w:r>
        <w:rPr>
          <w:rFonts w:hint="eastAsia" w:hAnsi="黑体"/>
          <w:sz w:val="24"/>
          <w:szCs w:val="24"/>
        </w:rPr>
        <w:t>4.3  主要内容确定依据</w:t>
      </w:r>
    </w:p>
    <w:p>
      <w:pPr>
        <w:pStyle w:val="10"/>
        <w:numPr>
          <w:ilvl w:val="0"/>
          <w:numId w:val="0"/>
        </w:numPr>
        <w:spacing w:before="312" w:after="312"/>
        <w:jc w:val="left"/>
        <w:rPr>
          <w:rFonts w:hAnsi="黑体"/>
          <w:sz w:val="24"/>
          <w:szCs w:val="24"/>
        </w:rPr>
      </w:pPr>
      <w:r>
        <w:rPr>
          <w:rFonts w:hint="eastAsia" w:hAnsi="黑体"/>
          <w:sz w:val="24"/>
          <w:szCs w:val="24"/>
        </w:rPr>
        <w:t xml:space="preserve">4.3.1  </w:t>
      </w:r>
      <w:r>
        <w:rPr>
          <w:rFonts w:hAnsi="黑体"/>
          <w:sz w:val="24"/>
          <w:szCs w:val="24"/>
        </w:rPr>
        <w:t>范围</w:t>
      </w:r>
    </w:p>
    <w:p>
      <w:pPr>
        <w:pStyle w:val="12"/>
        <w:spacing w:line="360" w:lineRule="auto"/>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本文件规定了中性墨水用水性色浆产品的术语和定义、基本要求、技术要求、试验方法、检验规则、标志、包装、运输和贮存、质量承诺。</w:t>
      </w:r>
    </w:p>
    <w:p>
      <w:pPr>
        <w:pStyle w:val="12"/>
        <w:spacing w:line="360" w:lineRule="auto"/>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本文件适用于以水为主要分散介质，由有机、无机颜料及添加剂制备而成的中性墨水用水性色浆。</w:t>
      </w:r>
    </w:p>
    <w:p>
      <w:pPr>
        <w:pStyle w:val="10"/>
        <w:numPr>
          <w:ilvl w:val="0"/>
          <w:numId w:val="0"/>
        </w:numPr>
        <w:spacing w:before="312" w:after="312"/>
        <w:jc w:val="left"/>
        <w:rPr>
          <w:rFonts w:hAnsi="黑体"/>
          <w:sz w:val="24"/>
          <w:szCs w:val="24"/>
        </w:rPr>
      </w:pPr>
      <w:r>
        <w:rPr>
          <w:rFonts w:hint="eastAsia" w:hAnsi="黑体"/>
          <w:sz w:val="24"/>
          <w:szCs w:val="24"/>
        </w:rPr>
        <w:t>4.3.2  基本要求</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主要以标准起草工作组调研结果为基础，按照“浙江制造”标准制订框架要求，就研发设计、原辅材料、工艺与设备、检验检测等内容进行了标准编制。</w:t>
      </w:r>
    </w:p>
    <w:p>
      <w:pPr>
        <w:pStyle w:val="11"/>
        <w:numPr>
          <w:ilvl w:val="1"/>
          <w:numId w:val="0"/>
        </w:numPr>
        <w:tabs>
          <w:tab w:val="left" w:pos="284"/>
          <w:tab w:val="left" w:pos="567"/>
          <w:tab w:val="clear" w:pos="0"/>
        </w:tabs>
        <w:spacing w:before="156" w:after="156"/>
        <w:rPr>
          <w:rFonts w:hAnsi="黑体"/>
          <w:sz w:val="24"/>
          <w:szCs w:val="24"/>
        </w:rPr>
      </w:pPr>
      <w:bookmarkStart w:id="0" w:name="_Toc56512095"/>
      <w:bookmarkStart w:id="1" w:name="_Toc524537690"/>
      <w:r>
        <w:rPr>
          <w:rFonts w:hint="eastAsia" w:ascii="仿宋_GB2312" w:hAnsi="宋体" w:eastAsia="仿宋_GB2312"/>
          <w:b/>
          <w:kern w:val="2"/>
          <w:sz w:val="24"/>
          <w:szCs w:val="24"/>
        </w:rPr>
        <w:t>4.3.2.1</w:t>
      </w:r>
      <w:r>
        <w:rPr>
          <w:rFonts w:hint="eastAsia" w:hAnsi="黑体"/>
          <w:sz w:val="24"/>
          <w:szCs w:val="24"/>
        </w:rPr>
        <w:t>设计研发</w:t>
      </w:r>
      <w:bookmarkEnd w:id="0"/>
    </w:p>
    <w:p>
      <w:pPr>
        <w:pStyle w:val="12"/>
        <w:spacing w:line="360" w:lineRule="auto"/>
        <w:rPr>
          <w:rFonts w:hint="eastAsia" w:ascii="仿宋_GB2312" w:hAnsi="宋体" w:eastAsia="仿宋_GB2312" w:cs="Times New Roman"/>
          <w:kern w:val="2"/>
          <w:sz w:val="24"/>
          <w:szCs w:val="24"/>
          <w:lang w:val="en-US" w:eastAsia="zh-CN" w:bidi="ar-SA"/>
        </w:rPr>
      </w:pPr>
      <w:bookmarkStart w:id="2" w:name="_Toc56512096"/>
      <w:r>
        <w:rPr>
          <w:rFonts w:hint="eastAsia" w:ascii="仿宋_GB2312" w:hAnsi="宋体" w:eastAsia="仿宋_GB2312" w:cs="Times New Roman"/>
          <w:kern w:val="2"/>
          <w:sz w:val="24"/>
          <w:szCs w:val="24"/>
          <w:lang w:val="en-US" w:eastAsia="zh-CN" w:bidi="ar-SA"/>
        </w:rPr>
        <w:t>应具备采用正交试验方法，对水性色浆进行配比能力；能根据客户需求（技术要求、安全性能）等进行设计、试验及验证能力。</w:t>
      </w:r>
    </w:p>
    <w:p>
      <w:pPr>
        <w:pStyle w:val="11"/>
        <w:numPr>
          <w:ilvl w:val="1"/>
          <w:numId w:val="0"/>
        </w:numPr>
        <w:tabs>
          <w:tab w:val="left" w:pos="284"/>
          <w:tab w:val="left" w:pos="567"/>
          <w:tab w:val="clear" w:pos="0"/>
        </w:tabs>
        <w:spacing w:before="156" w:after="156" w:line="360" w:lineRule="auto"/>
        <w:rPr>
          <w:rFonts w:ascii="仿宋_GB2312" w:hAnsi="宋体" w:eastAsia="仿宋_GB2312"/>
          <w:b/>
          <w:kern w:val="2"/>
          <w:sz w:val="24"/>
          <w:szCs w:val="24"/>
        </w:rPr>
      </w:pPr>
      <w:r>
        <w:rPr>
          <w:rFonts w:hint="eastAsia" w:hAnsi="黑体"/>
          <w:sz w:val="24"/>
          <w:szCs w:val="24"/>
        </w:rPr>
        <w:t>4.3.2.2</w:t>
      </w:r>
      <w:r>
        <w:rPr>
          <w:rFonts w:hint="eastAsia" w:ascii="仿宋_GB2312" w:hAnsi="宋体" w:eastAsia="仿宋_GB2312"/>
          <w:b/>
          <w:kern w:val="2"/>
          <w:sz w:val="24"/>
          <w:szCs w:val="24"/>
        </w:rPr>
        <w:t>原材料</w:t>
      </w:r>
      <w:bookmarkEnd w:id="1"/>
      <w:bookmarkEnd w:id="2"/>
    </w:p>
    <w:p>
      <w:pPr>
        <w:pStyle w:val="25"/>
        <w:numPr>
          <w:ilvl w:val="0"/>
          <w:numId w:val="0"/>
        </w:numPr>
        <w:spacing w:line="360" w:lineRule="auto"/>
        <w:ind w:leftChars="0" w:firstLine="480" w:firstLineChars="200"/>
        <w:rPr>
          <w:rFonts w:hint="eastAsia" w:ascii="仿宋_GB2312" w:hAnsi="宋体" w:eastAsia="仿宋_GB2312" w:cs="Times New Roman"/>
          <w:kern w:val="2"/>
          <w:sz w:val="24"/>
          <w:szCs w:val="24"/>
          <w:lang w:val="en-US" w:eastAsia="zh-CN" w:bidi="ar-SA"/>
        </w:rPr>
      </w:pPr>
      <w:bookmarkStart w:id="3" w:name="_Toc524537692"/>
      <w:bookmarkStart w:id="4" w:name="_Toc56512101"/>
      <w:r>
        <w:rPr>
          <w:rFonts w:hint="eastAsia" w:ascii="仿宋_GB2312" w:hAnsi="宋体" w:eastAsia="仿宋_GB2312" w:cs="Times New Roman"/>
          <w:kern w:val="2"/>
          <w:sz w:val="24"/>
          <w:szCs w:val="24"/>
          <w:lang w:val="en-US" w:eastAsia="zh-CN" w:bidi="ar-SA"/>
        </w:rPr>
        <w:t>主要原材料水、有机、无机颜料、填料中重金属含量应符合相关标准。</w:t>
      </w:r>
    </w:p>
    <w:p>
      <w:pPr>
        <w:pStyle w:val="11"/>
        <w:numPr>
          <w:ilvl w:val="1"/>
          <w:numId w:val="0"/>
        </w:numPr>
        <w:tabs>
          <w:tab w:val="left" w:pos="284"/>
          <w:tab w:val="left" w:pos="567"/>
          <w:tab w:val="clear" w:pos="0"/>
        </w:tabs>
        <w:spacing w:before="156" w:after="156" w:line="360" w:lineRule="auto"/>
        <w:rPr>
          <w:rFonts w:ascii="仿宋_GB2312" w:hAnsi="宋体" w:eastAsia="仿宋_GB2312"/>
          <w:b/>
          <w:kern w:val="2"/>
          <w:sz w:val="24"/>
          <w:szCs w:val="24"/>
        </w:rPr>
      </w:pPr>
      <w:r>
        <w:rPr>
          <w:rFonts w:hint="eastAsia" w:hAnsi="黑体"/>
          <w:sz w:val="24"/>
          <w:szCs w:val="24"/>
        </w:rPr>
        <w:t>4.3.2.3</w:t>
      </w:r>
      <w:r>
        <w:rPr>
          <w:rFonts w:hint="eastAsia" w:ascii="仿宋_GB2312" w:hAnsi="宋体" w:eastAsia="仿宋_GB2312"/>
          <w:b/>
          <w:kern w:val="2"/>
          <w:sz w:val="24"/>
          <w:szCs w:val="24"/>
        </w:rPr>
        <w:t>工艺</w:t>
      </w:r>
      <w:bookmarkEnd w:id="3"/>
      <w:r>
        <w:rPr>
          <w:rFonts w:hint="eastAsia" w:ascii="仿宋_GB2312" w:hAnsi="宋体" w:eastAsia="仿宋_GB2312"/>
          <w:b/>
          <w:kern w:val="2"/>
          <w:sz w:val="24"/>
          <w:szCs w:val="24"/>
        </w:rPr>
        <w:t>及装备</w:t>
      </w:r>
      <w:bookmarkEnd w:id="4"/>
    </w:p>
    <w:p>
      <w:pPr>
        <w:pStyle w:val="25"/>
        <w:numPr>
          <w:ilvl w:val="0"/>
          <w:numId w:val="4"/>
        </w:numPr>
        <w:spacing w:line="36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具备高速分散机、纳米砂磨机等自动化设备</w:t>
      </w:r>
    </w:p>
    <w:p>
      <w:pPr>
        <w:pStyle w:val="25"/>
        <w:numPr>
          <w:ilvl w:val="0"/>
          <w:numId w:val="4"/>
        </w:numPr>
        <w:spacing w:line="36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具备封闭式的设备装置和集散控制系统。</w:t>
      </w:r>
    </w:p>
    <w:p>
      <w:pPr>
        <w:tabs>
          <w:tab w:val="left" w:pos="2160"/>
        </w:tabs>
        <w:spacing w:line="36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3）具备生产过程数字化记录系统，实现产品溯源</w:t>
      </w:r>
    </w:p>
    <w:p>
      <w:pPr>
        <w:pStyle w:val="11"/>
        <w:numPr>
          <w:ilvl w:val="1"/>
          <w:numId w:val="0"/>
        </w:numPr>
        <w:tabs>
          <w:tab w:val="left" w:pos="284"/>
          <w:tab w:val="left" w:pos="567"/>
          <w:tab w:val="clear" w:pos="0"/>
        </w:tabs>
        <w:spacing w:before="156" w:after="156" w:line="360" w:lineRule="auto"/>
        <w:rPr>
          <w:rFonts w:ascii="仿宋_GB2312" w:hAnsi="宋体" w:eastAsia="仿宋_GB2312"/>
          <w:b/>
          <w:kern w:val="2"/>
          <w:sz w:val="24"/>
          <w:szCs w:val="24"/>
        </w:rPr>
      </w:pPr>
      <w:bookmarkStart w:id="5" w:name="_Toc56512102"/>
      <w:r>
        <w:rPr>
          <w:rFonts w:hint="eastAsia" w:hAnsi="黑体"/>
          <w:sz w:val="24"/>
          <w:szCs w:val="24"/>
        </w:rPr>
        <w:t>4.3.2.4</w:t>
      </w:r>
      <w:r>
        <w:rPr>
          <w:rFonts w:hint="eastAsia" w:ascii="仿宋_GB2312" w:hAnsi="宋体" w:eastAsia="仿宋_GB2312"/>
          <w:b/>
          <w:kern w:val="2"/>
          <w:sz w:val="24"/>
          <w:szCs w:val="24"/>
        </w:rPr>
        <w:t>检验检测</w:t>
      </w:r>
      <w:bookmarkEnd w:id="5"/>
    </w:p>
    <w:p>
      <w:pPr>
        <w:tabs>
          <w:tab w:val="left" w:pos="2160"/>
        </w:tabs>
        <w:spacing w:line="360" w:lineRule="auto"/>
        <w:ind w:firstLine="480" w:firstLineChars="200"/>
        <w:rPr>
          <w:rFonts w:hint="eastAsia" w:ascii="仿宋_GB2312" w:hAnsi="宋体" w:eastAsia="仿宋_GB2312" w:cs="Times New Roman"/>
          <w:color w:val="0000FF"/>
          <w:kern w:val="2"/>
          <w:sz w:val="24"/>
          <w:szCs w:val="24"/>
          <w:lang w:val="en-US" w:eastAsia="zh-CN" w:bidi="ar-SA"/>
        </w:rPr>
      </w:pPr>
      <w:r>
        <w:rPr>
          <w:rFonts w:hint="eastAsia" w:ascii="仿宋_GB2312" w:hAnsi="宋体" w:eastAsia="仿宋_GB2312" w:cs="Times New Roman"/>
          <w:kern w:val="2"/>
          <w:sz w:val="24"/>
          <w:szCs w:val="24"/>
          <w:lang w:val="en-US" w:eastAsia="zh-CN" w:bidi="ar-SA"/>
        </w:rPr>
        <w:t>应具备粘度、固含量、着色力、粒径等测试能力</w:t>
      </w:r>
      <w:r>
        <w:rPr>
          <w:rFonts w:hint="eastAsia" w:ascii="仿宋_GB2312" w:hAnsi="宋体" w:eastAsia="仿宋_GB2312" w:cs="Times New Roman"/>
          <w:color w:val="0000FF"/>
          <w:kern w:val="2"/>
          <w:sz w:val="24"/>
          <w:szCs w:val="24"/>
          <w:lang w:val="en-US" w:eastAsia="zh-CN" w:bidi="ar-SA"/>
        </w:rPr>
        <w:t>。</w:t>
      </w:r>
    </w:p>
    <w:p>
      <w:pPr>
        <w:pStyle w:val="10"/>
        <w:numPr>
          <w:ilvl w:val="0"/>
          <w:numId w:val="0"/>
        </w:numPr>
        <w:spacing w:before="312" w:after="312"/>
        <w:jc w:val="left"/>
        <w:rPr>
          <w:rFonts w:hAnsi="黑体"/>
          <w:sz w:val="24"/>
          <w:szCs w:val="24"/>
        </w:rPr>
      </w:pPr>
      <w:r>
        <w:rPr>
          <w:rFonts w:hint="eastAsia" w:hAnsi="黑体"/>
          <w:sz w:val="24"/>
          <w:szCs w:val="24"/>
        </w:rPr>
        <w:t>4.3.3  技术要求</w:t>
      </w:r>
    </w:p>
    <w:p>
      <w:pPr>
        <w:pStyle w:val="10"/>
        <w:numPr>
          <w:ilvl w:val="0"/>
          <w:numId w:val="0"/>
        </w:numPr>
        <w:spacing w:before="312" w:after="312"/>
        <w:jc w:val="left"/>
        <w:rPr>
          <w:rFonts w:hAnsi="黑体"/>
          <w:sz w:val="24"/>
          <w:szCs w:val="24"/>
        </w:rPr>
      </w:pPr>
      <w:r>
        <w:rPr>
          <w:rFonts w:hint="eastAsia" w:hAnsi="黑体"/>
          <w:sz w:val="24"/>
          <w:szCs w:val="24"/>
        </w:rPr>
        <w:t>4.3.3.1</w:t>
      </w:r>
      <w:r>
        <w:rPr>
          <w:rFonts w:hint="eastAsia" w:hAnsi="黑体"/>
          <w:sz w:val="24"/>
          <w:szCs w:val="24"/>
          <w:lang w:val="en-US" w:eastAsia="zh-CN"/>
        </w:rPr>
        <w:t>内在</w:t>
      </w:r>
      <w:r>
        <w:rPr>
          <w:rFonts w:hint="eastAsia" w:hAnsi="黑体"/>
          <w:sz w:val="24"/>
          <w:szCs w:val="24"/>
        </w:rPr>
        <w:t>质量要求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12"/>
        <w:gridCol w:w="1638"/>
        <w:gridCol w:w="20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2"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序号</w:t>
            </w:r>
          </w:p>
        </w:tc>
        <w:tc>
          <w:tcPr>
            <w:tcW w:w="4287" w:type="dxa"/>
            <w:gridSpan w:val="3"/>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项目名称</w:t>
            </w:r>
          </w:p>
        </w:tc>
        <w:tc>
          <w:tcPr>
            <w:tcW w:w="4688"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2"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w:t>
            </w:r>
          </w:p>
        </w:tc>
        <w:tc>
          <w:tcPr>
            <w:tcW w:w="4287" w:type="dxa"/>
            <w:gridSpan w:val="3"/>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外观状态</w:t>
            </w:r>
          </w:p>
        </w:tc>
        <w:tc>
          <w:tcPr>
            <w:tcW w:w="4688"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搅拌后呈均匀状态，无硬块。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2" w:type="dxa"/>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w:t>
            </w:r>
          </w:p>
        </w:tc>
        <w:tc>
          <w:tcPr>
            <w:tcW w:w="4287" w:type="dxa"/>
            <w:gridSpan w:val="3"/>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 xml:space="preserve">黏度偏差/KU                                </w:t>
            </w:r>
          </w:p>
        </w:tc>
        <w:tc>
          <w:tcPr>
            <w:tcW w:w="4688" w:type="dxa"/>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w:t>
            </w:r>
          </w:p>
        </w:tc>
        <w:tc>
          <w:tcPr>
            <w:tcW w:w="4287" w:type="dxa"/>
            <w:gridSpan w:val="3"/>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粒度/</w:t>
            </w:r>
            <w:r>
              <w:rPr>
                <w:rFonts w:ascii="Arial" w:hAnsi="Arial" w:eastAsia="宋体" w:cs="Arial"/>
                <w:i w:val="0"/>
                <w:caps w:val="0"/>
                <w:color w:val="333333"/>
                <w:spacing w:val="0"/>
                <w:sz w:val="18"/>
                <w:szCs w:val="18"/>
                <w:highlight w:val="none"/>
                <w:shd w:val="clear" w:color="auto" w:fill="FFFFFF"/>
              </w:rPr>
              <w:t>μm</w:t>
            </w:r>
            <w:r>
              <w:rPr>
                <w:rFonts w:hint="eastAsia" w:ascii="Arial" w:hAnsi="Arial" w:cs="Arial"/>
                <w:i w:val="0"/>
                <w:caps w:val="0"/>
                <w:color w:val="333333"/>
                <w:spacing w:val="0"/>
                <w:sz w:val="18"/>
                <w:szCs w:val="18"/>
                <w:highlight w:val="none"/>
                <w:shd w:val="clear" w:color="auto" w:fill="FFFFFF"/>
                <w:lang w:val="en-US" w:eastAsia="zh-CN"/>
              </w:rPr>
              <w:t xml:space="preserve">                                 </w:t>
            </w:r>
          </w:p>
        </w:tc>
        <w:tc>
          <w:tcPr>
            <w:tcW w:w="4688" w:type="dxa"/>
            <w:noWrap w:val="0"/>
            <w:vAlign w:val="center"/>
          </w:tcPr>
          <w:p>
            <w:pPr>
              <w:jc w:val="center"/>
              <w:rPr>
                <w:rFonts w:hint="default"/>
                <w:sz w:val="18"/>
                <w:szCs w:val="18"/>
                <w:highlight w:val="none"/>
                <w:vertAlign w:val="baseline"/>
                <w:lang w:val="en-US" w:eastAsia="zh-CN"/>
              </w:rPr>
            </w:pPr>
            <w:r>
              <w:rPr>
                <w:rFonts w:hint="eastAsia" w:ascii="Arial" w:hAnsi="Arial" w:cs="Arial"/>
                <w:i w:val="0"/>
                <w:caps w:val="0"/>
                <w:color w:val="333333"/>
                <w:spacing w:val="0"/>
                <w:sz w:val="18"/>
                <w:szCs w:val="18"/>
                <w:highlight w:val="none"/>
                <w:shd w:val="clear" w:color="auto" w:fill="FFFFFF"/>
                <w:lang w:val="en-US" w:eastAsia="zh-CN"/>
              </w:rPr>
              <w:t xml:space="preserve">  </w:t>
            </w:r>
            <w:r>
              <w:rPr>
                <w:rFonts w:hint="eastAsia"/>
                <w:sz w:val="18"/>
                <w:szCs w:val="18"/>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4</w:t>
            </w:r>
          </w:p>
        </w:tc>
        <w:tc>
          <w:tcPr>
            <w:tcW w:w="4287" w:type="dxa"/>
            <w:gridSpan w:val="3"/>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固含量偏差/%</w:t>
            </w:r>
          </w:p>
        </w:tc>
        <w:tc>
          <w:tcPr>
            <w:tcW w:w="4688" w:type="dxa"/>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82"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5</w:t>
            </w:r>
          </w:p>
        </w:tc>
        <w:tc>
          <w:tcPr>
            <w:tcW w:w="4287" w:type="dxa"/>
            <w:gridSpan w:val="3"/>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PH值</w:t>
            </w:r>
          </w:p>
        </w:tc>
        <w:tc>
          <w:tcPr>
            <w:tcW w:w="4688"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2" w:type="dxa"/>
            <w:vMerge w:val="restart"/>
            <w:noWrap w:val="0"/>
            <w:vAlign w:val="center"/>
          </w:tcPr>
          <w:p>
            <w:pPr>
              <w:jc w:val="center"/>
              <w:rPr>
                <w:rFonts w:hint="eastAsia" w:ascii="Calibri" w:hAnsi="Calibri" w:eastAsia="宋体" w:cs="Times New Roman"/>
                <w:kern w:val="2"/>
                <w:sz w:val="18"/>
                <w:szCs w:val="18"/>
                <w:highlight w:val="none"/>
                <w:vertAlign w:val="baseline"/>
                <w:lang w:val="en-US" w:eastAsia="zh-CN" w:bidi="ar-SA"/>
              </w:rPr>
            </w:pPr>
            <w:r>
              <w:rPr>
                <w:rFonts w:hint="eastAsia"/>
                <w:sz w:val="18"/>
                <w:szCs w:val="18"/>
                <w:highlight w:val="none"/>
                <w:vertAlign w:val="baseline"/>
                <w:lang w:val="en-US" w:eastAsia="zh-CN"/>
              </w:rPr>
              <w:t>6</w:t>
            </w:r>
          </w:p>
        </w:tc>
        <w:tc>
          <w:tcPr>
            <w:tcW w:w="612" w:type="dxa"/>
            <w:vMerge w:val="restart"/>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颜色</w:t>
            </w:r>
          </w:p>
        </w:tc>
        <w:tc>
          <w:tcPr>
            <w:tcW w:w="1638" w:type="dxa"/>
            <w:vMerge w:val="restart"/>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原色比例 1:10</w:t>
            </w:r>
          </w:p>
        </w:tc>
        <w:tc>
          <w:tcPr>
            <w:tcW w:w="2037" w:type="dxa"/>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目视法</w:t>
            </w:r>
          </w:p>
        </w:tc>
        <w:tc>
          <w:tcPr>
            <w:tcW w:w="4688" w:type="dxa"/>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近似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2" w:type="dxa"/>
            <w:vMerge w:val="continue"/>
            <w:noWrap w:val="0"/>
            <w:vAlign w:val="center"/>
          </w:tcPr>
          <w:p>
            <w:pPr>
              <w:jc w:val="center"/>
            </w:pPr>
          </w:p>
        </w:tc>
        <w:tc>
          <w:tcPr>
            <w:tcW w:w="612" w:type="dxa"/>
            <w:vMerge w:val="continue"/>
            <w:noWrap w:val="0"/>
            <w:vAlign w:val="center"/>
          </w:tcPr>
          <w:p>
            <w:pPr>
              <w:jc w:val="center"/>
            </w:pPr>
          </w:p>
        </w:tc>
        <w:tc>
          <w:tcPr>
            <w:tcW w:w="1638" w:type="dxa"/>
            <w:vMerge w:val="continue"/>
            <w:noWrap w:val="0"/>
            <w:vAlign w:val="center"/>
          </w:tcPr>
          <w:p>
            <w:pPr>
              <w:jc w:val="center"/>
            </w:pPr>
          </w:p>
        </w:tc>
        <w:tc>
          <w:tcPr>
            <w:tcW w:w="2037"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仪器法</w:t>
            </w:r>
          </w:p>
        </w:tc>
        <w:tc>
          <w:tcPr>
            <w:tcW w:w="4688" w:type="dxa"/>
            <w:noWrap w:val="0"/>
            <w:vAlign w:val="center"/>
          </w:tcPr>
          <w:p>
            <w:pPr>
              <w:jc w:val="center"/>
            </w:pPr>
            <w:r>
              <w:rPr>
                <w:rFonts w:hint="eastAsia"/>
                <w:sz w:val="18"/>
                <w:szCs w:val="18"/>
                <w:vertAlign w:val="baseline"/>
                <w:lang w:val="en-US" w:eastAsia="zh-CN"/>
              </w:rPr>
              <w:t>△E≤0.8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2" w:type="dxa"/>
            <w:vMerge w:val="continue"/>
            <w:noWrap w:val="0"/>
            <w:vAlign w:val="center"/>
          </w:tcPr>
          <w:p>
            <w:pPr>
              <w:jc w:val="center"/>
              <w:rPr>
                <w:rFonts w:hint="eastAsia"/>
                <w:sz w:val="18"/>
                <w:szCs w:val="18"/>
                <w:highlight w:val="none"/>
                <w:vertAlign w:val="baseline"/>
                <w:lang w:val="en-US" w:eastAsia="zh-CN"/>
              </w:rPr>
            </w:pPr>
          </w:p>
        </w:tc>
        <w:tc>
          <w:tcPr>
            <w:tcW w:w="612" w:type="dxa"/>
            <w:vMerge w:val="continue"/>
            <w:noWrap w:val="0"/>
            <w:vAlign w:val="center"/>
          </w:tcPr>
          <w:p>
            <w:pPr>
              <w:jc w:val="center"/>
              <w:rPr>
                <w:rFonts w:hint="eastAsia"/>
                <w:sz w:val="18"/>
                <w:szCs w:val="18"/>
                <w:highlight w:val="none"/>
                <w:vertAlign w:val="baseline"/>
                <w:lang w:val="en-US" w:eastAsia="zh-CN"/>
              </w:rPr>
            </w:pPr>
          </w:p>
        </w:tc>
        <w:tc>
          <w:tcPr>
            <w:tcW w:w="1638" w:type="dxa"/>
            <w:vMerge w:val="restart"/>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冲淡比例 1:100</w:t>
            </w:r>
          </w:p>
        </w:tc>
        <w:tc>
          <w:tcPr>
            <w:tcW w:w="2037" w:type="dxa"/>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目视法</w:t>
            </w:r>
          </w:p>
        </w:tc>
        <w:tc>
          <w:tcPr>
            <w:tcW w:w="4688" w:type="dxa"/>
            <w:noWrap w:val="0"/>
            <w:vAlign w:val="center"/>
          </w:tcPr>
          <w:p>
            <w:pPr>
              <w:bidi w:val="0"/>
              <w:jc w:val="center"/>
              <w:rPr>
                <w:rFonts w:hint="default"/>
                <w:sz w:val="18"/>
                <w:szCs w:val="18"/>
                <w:highlight w:val="none"/>
                <w:vertAlign w:val="baseline"/>
                <w:lang w:val="en-US" w:eastAsia="zh-CN"/>
              </w:rPr>
            </w:pPr>
            <w:r>
              <w:rPr>
                <w:rFonts w:hint="eastAsia" w:cs="Times New Roman"/>
                <w:kern w:val="2"/>
                <w:sz w:val="21"/>
                <w:szCs w:val="22"/>
                <w:highlight w:val="none"/>
                <w:lang w:val="en-US" w:eastAsia="zh-CN" w:bidi="ar-SA"/>
              </w:rPr>
              <w:t>近似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2" w:type="dxa"/>
            <w:vMerge w:val="continue"/>
            <w:noWrap w:val="0"/>
            <w:vAlign w:val="center"/>
          </w:tcPr>
          <w:p>
            <w:pPr>
              <w:jc w:val="center"/>
            </w:pPr>
          </w:p>
        </w:tc>
        <w:tc>
          <w:tcPr>
            <w:tcW w:w="612" w:type="dxa"/>
            <w:vMerge w:val="continue"/>
            <w:noWrap w:val="0"/>
            <w:vAlign w:val="center"/>
          </w:tcPr>
          <w:p>
            <w:pPr>
              <w:jc w:val="center"/>
            </w:pPr>
          </w:p>
        </w:tc>
        <w:tc>
          <w:tcPr>
            <w:tcW w:w="1638" w:type="dxa"/>
            <w:vMerge w:val="continue"/>
            <w:noWrap w:val="0"/>
            <w:vAlign w:val="center"/>
          </w:tcPr>
          <w:p>
            <w:pPr>
              <w:jc w:val="center"/>
            </w:pPr>
          </w:p>
        </w:tc>
        <w:tc>
          <w:tcPr>
            <w:tcW w:w="2037"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仪器法</w:t>
            </w:r>
          </w:p>
        </w:tc>
        <w:tc>
          <w:tcPr>
            <w:tcW w:w="4688" w:type="dxa"/>
            <w:noWrap w:val="0"/>
            <w:vAlign w:val="center"/>
          </w:tcPr>
          <w:p>
            <w:pPr>
              <w:jc w:val="center"/>
            </w:pPr>
            <w:r>
              <w:rPr>
                <w:rFonts w:hint="eastAsia"/>
                <w:sz w:val="18"/>
                <w:szCs w:val="18"/>
                <w:vertAlign w:val="baseline"/>
                <w:lang w:val="en-US" w:eastAsia="zh-CN"/>
              </w:rPr>
              <w:t>△E≤0.5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2" w:type="dxa"/>
            <w:vMerge w:val="continue"/>
            <w:noWrap w:val="0"/>
            <w:vAlign w:val="center"/>
          </w:tcPr>
          <w:p>
            <w:pPr>
              <w:jc w:val="center"/>
              <w:rPr>
                <w:rFonts w:hint="eastAsia" w:ascii="Calibri" w:hAnsi="Calibri" w:eastAsia="宋体" w:cs="Times New Roman"/>
                <w:kern w:val="2"/>
                <w:sz w:val="18"/>
                <w:szCs w:val="18"/>
                <w:highlight w:val="none"/>
                <w:vertAlign w:val="baseline"/>
                <w:lang w:val="en-US" w:eastAsia="zh-CN" w:bidi="ar-SA"/>
              </w:rPr>
            </w:pPr>
          </w:p>
        </w:tc>
        <w:tc>
          <w:tcPr>
            <w:tcW w:w="612" w:type="dxa"/>
            <w:vMerge w:val="continue"/>
            <w:noWrap w:val="0"/>
            <w:vAlign w:val="center"/>
          </w:tcPr>
          <w:p>
            <w:pPr>
              <w:jc w:val="center"/>
              <w:rPr>
                <w:rFonts w:hint="eastAsia"/>
                <w:sz w:val="18"/>
                <w:szCs w:val="18"/>
                <w:highlight w:val="none"/>
                <w:vertAlign w:val="baseline"/>
                <w:lang w:val="en-US" w:eastAsia="zh-CN"/>
              </w:rPr>
            </w:pPr>
          </w:p>
        </w:tc>
        <w:tc>
          <w:tcPr>
            <w:tcW w:w="1638" w:type="dxa"/>
            <w:vMerge w:val="restart"/>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白色素   1:10</w:t>
            </w:r>
          </w:p>
        </w:tc>
        <w:tc>
          <w:tcPr>
            <w:tcW w:w="2037" w:type="dxa"/>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目视法</w:t>
            </w:r>
          </w:p>
        </w:tc>
        <w:tc>
          <w:tcPr>
            <w:tcW w:w="4688" w:type="dxa"/>
            <w:noWrap w:val="0"/>
            <w:vAlign w:val="center"/>
          </w:tcPr>
          <w:p>
            <w:p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近似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2" w:type="dxa"/>
            <w:vMerge w:val="continue"/>
            <w:noWrap w:val="0"/>
            <w:vAlign w:val="center"/>
          </w:tcPr>
          <w:p>
            <w:pPr>
              <w:jc w:val="center"/>
            </w:pPr>
          </w:p>
        </w:tc>
        <w:tc>
          <w:tcPr>
            <w:tcW w:w="612" w:type="dxa"/>
            <w:vMerge w:val="continue"/>
            <w:noWrap w:val="0"/>
            <w:vAlign w:val="center"/>
          </w:tcPr>
          <w:p>
            <w:pPr>
              <w:jc w:val="center"/>
            </w:pPr>
          </w:p>
        </w:tc>
        <w:tc>
          <w:tcPr>
            <w:tcW w:w="1638" w:type="dxa"/>
            <w:vMerge w:val="continue"/>
            <w:noWrap w:val="0"/>
            <w:vAlign w:val="center"/>
          </w:tcPr>
          <w:p>
            <w:pPr>
              <w:jc w:val="center"/>
            </w:pPr>
          </w:p>
        </w:tc>
        <w:tc>
          <w:tcPr>
            <w:tcW w:w="2037"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仪器法</w:t>
            </w:r>
          </w:p>
        </w:tc>
        <w:tc>
          <w:tcPr>
            <w:tcW w:w="4688" w:type="dxa"/>
            <w:noWrap w:val="0"/>
            <w:vAlign w:val="center"/>
          </w:tcPr>
          <w:p>
            <w:pPr>
              <w:jc w:val="center"/>
            </w:pPr>
            <w:r>
              <w:rPr>
                <w:rFonts w:hint="eastAsia"/>
                <w:sz w:val="18"/>
                <w:szCs w:val="18"/>
                <w:vertAlign w:val="baseline"/>
                <w:lang w:val="en-US" w:eastAsia="zh-CN"/>
              </w:rPr>
              <w:t>△E≤0.5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82"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7</w:t>
            </w:r>
          </w:p>
        </w:tc>
        <w:tc>
          <w:tcPr>
            <w:tcW w:w="4287" w:type="dxa"/>
            <w:gridSpan w:val="3"/>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相对着色强度/%</w:t>
            </w:r>
          </w:p>
        </w:tc>
        <w:tc>
          <w:tcPr>
            <w:tcW w:w="4688"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100±3.0</w:t>
            </w:r>
          </w:p>
        </w:tc>
      </w:tr>
    </w:tbl>
    <w:p>
      <w:pPr>
        <w:pStyle w:val="10"/>
        <w:numPr>
          <w:ilvl w:val="0"/>
          <w:numId w:val="0"/>
        </w:numPr>
        <w:spacing w:before="312" w:after="312"/>
        <w:jc w:val="left"/>
        <w:rPr>
          <w:rFonts w:hint="eastAsia" w:hAnsi="黑体"/>
          <w:sz w:val="24"/>
          <w:szCs w:val="24"/>
        </w:rPr>
      </w:pPr>
      <w:r>
        <w:rPr>
          <w:rFonts w:hint="eastAsia" w:hAnsi="黑体"/>
          <w:sz w:val="24"/>
          <w:szCs w:val="24"/>
        </w:rPr>
        <w:t xml:space="preserve">4.3.3.2 </w:t>
      </w:r>
      <w:r>
        <w:rPr>
          <w:rFonts w:hint="eastAsia" w:hAnsi="黑体"/>
          <w:sz w:val="24"/>
          <w:szCs w:val="24"/>
          <w:lang w:val="en-US" w:eastAsia="zh-CN"/>
        </w:rPr>
        <w:t>安全性能</w:t>
      </w:r>
      <w:r>
        <w:rPr>
          <w:rFonts w:hint="eastAsia" w:hAnsi="黑体"/>
          <w:sz w:val="24"/>
          <w:szCs w:val="24"/>
        </w:rPr>
        <w:t>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015"/>
        <w:gridCol w:w="922"/>
        <w:gridCol w:w="2125"/>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3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vertAlign w:val="baseline"/>
                <w:lang w:val="en-US" w:eastAsia="zh-CN"/>
              </w:rPr>
            </w:pPr>
            <w:r>
              <w:rPr>
                <w:rFonts w:hint="default"/>
                <w:sz w:val="18"/>
                <w:szCs w:val="18"/>
                <w:lang w:val="en-US" w:eastAsia="zh-CN"/>
              </w:rPr>
              <w:t>​</w:t>
            </w:r>
            <w:r>
              <w:rPr>
                <w:rFonts w:hint="eastAsia"/>
                <w:sz w:val="18"/>
                <w:szCs w:val="18"/>
                <w:lang w:val="en-US" w:eastAsia="zh-CN"/>
              </w:rPr>
              <w:t>项目</w:t>
            </w:r>
          </w:p>
        </w:tc>
        <w:tc>
          <w:tcPr>
            <w:tcW w:w="3332"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8"/>
                <w:szCs w:val="18"/>
                <w:lang w:val="en-US" w:eastAsia="zh-CN"/>
              </w:rPr>
            </w:pPr>
            <w:r>
              <w:rPr>
                <w:rFonts w:hint="eastAsia"/>
                <w:sz w:val="18"/>
                <w:szCs w:val="18"/>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restart"/>
            <w:noWrap w:val="0"/>
            <w:vAlign w:val="center"/>
          </w:tcPr>
          <w:p>
            <w:pPr>
              <w:pStyle w:val="12"/>
              <w:widowControl w:val="0"/>
              <w:ind w:left="0" w:leftChars="0" w:firstLine="0" w:firstLineChars="0"/>
              <w:jc w:val="center"/>
              <w:rPr>
                <w:rFonts w:hint="default"/>
                <w:vertAlign w:val="baseline"/>
                <w:lang w:val="en-US" w:eastAsia="zh-CN"/>
              </w:rPr>
            </w:pPr>
            <w:r>
              <w:rPr>
                <w:rFonts w:hint="eastAsia"/>
                <w:sz w:val="18"/>
                <w:szCs w:val="18"/>
                <w:lang w:val="en-US" w:eastAsia="zh-CN"/>
              </w:rPr>
              <w:t>有毒有害</w:t>
            </w:r>
          </w:p>
        </w:tc>
        <w:tc>
          <w:tcPr>
            <w:tcW w:w="5062" w:type="dxa"/>
            <w:gridSpan w:val="3"/>
            <w:noWrap w:val="0"/>
            <w:vAlign w:val="top"/>
          </w:tcPr>
          <w:p>
            <w:pPr>
              <w:pStyle w:val="12"/>
              <w:widowControl w:val="0"/>
              <w:rPr>
                <w:rFonts w:hint="default"/>
                <w:vertAlign w:val="baseline"/>
                <w:lang w:val="en-US" w:eastAsia="zh-CN"/>
              </w:rPr>
            </w:pPr>
            <w:r>
              <w:rPr>
                <w:rFonts w:hint="eastAsia"/>
                <w:sz w:val="18"/>
                <w:szCs w:val="18"/>
                <w:lang w:val="en-US" w:eastAsia="zh-CN"/>
              </w:rPr>
              <w:t xml:space="preserve">游离甲醛/（mg/kg）                           </w:t>
            </w:r>
          </w:p>
        </w:tc>
        <w:tc>
          <w:tcPr>
            <w:tcW w:w="3332"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vertAlign w:val="baseline"/>
                <w:lang w:val="en-US" w:eastAsia="zh-CN"/>
              </w:rPr>
            </w:pPr>
            <w:r>
              <w:rPr>
                <w:rFonts w:hint="eastAsia"/>
                <w:sz w:val="18"/>
                <w:szCs w:val="18"/>
                <w:lang w:val="en-US" w:eastAsia="zh-CN"/>
              </w:rPr>
              <w:t xml:space="preserve">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82" w:type="dxa"/>
            <w:vMerge w:val="continue"/>
            <w:noWrap w:val="0"/>
            <w:vAlign w:val="top"/>
          </w:tcPr>
          <w:p>
            <w:pPr>
              <w:pStyle w:val="12"/>
              <w:widowControl w:val="0"/>
              <w:rPr>
                <w:rFonts w:hint="default"/>
                <w:vertAlign w:val="baseline"/>
                <w:lang w:val="en-US" w:eastAsia="zh-CN"/>
              </w:rPr>
            </w:pPr>
          </w:p>
        </w:tc>
        <w:tc>
          <w:tcPr>
            <w:tcW w:w="5062" w:type="dxa"/>
            <w:gridSpan w:val="3"/>
            <w:noWrap w:val="0"/>
            <w:vAlign w:val="top"/>
          </w:tcPr>
          <w:p>
            <w:pPr>
              <w:pStyle w:val="12"/>
              <w:widowControl w:val="0"/>
              <w:rPr>
                <w:rFonts w:hint="default"/>
                <w:vertAlign w:val="baseline"/>
                <w:lang w:val="en-US" w:eastAsia="zh-CN"/>
              </w:rPr>
            </w:pPr>
            <w:r>
              <w:rPr>
                <w:rFonts w:hint="eastAsia"/>
                <w:sz w:val="18"/>
                <w:szCs w:val="18"/>
                <w:lang w:val="en-US" w:eastAsia="zh-CN"/>
              </w:rPr>
              <w:t>可分解出致癌芳香胺的染料/ （mg/kg</w:t>
            </w:r>
          </w:p>
        </w:tc>
        <w:tc>
          <w:tcPr>
            <w:tcW w:w="3332"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vertAlign w:val="baseline"/>
                <w:lang w:val="en-US" w:eastAsia="zh-CN"/>
              </w:rPr>
            </w:pPr>
            <w:r>
              <w:rPr>
                <w:rFonts w:hint="eastAsia"/>
                <w:sz w:val="18"/>
                <w:szCs w:val="18"/>
                <w:lang w:val="en-US" w:eastAsia="zh-CN"/>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82" w:type="dxa"/>
            <w:vMerge w:val="continue"/>
            <w:noWrap w:val="0"/>
            <w:vAlign w:val="top"/>
          </w:tcPr>
          <w:p>
            <w:pPr>
              <w:pStyle w:val="12"/>
              <w:widowControl w:val="0"/>
              <w:rPr>
                <w:rFonts w:hint="default"/>
                <w:vertAlign w:val="baseline"/>
                <w:lang w:val="en-US" w:eastAsia="zh-CN"/>
              </w:rPr>
            </w:pPr>
          </w:p>
        </w:tc>
        <w:tc>
          <w:tcPr>
            <w:tcW w:w="201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烷基苯酚及烷基苯酚</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聚氧乙烯醚（mg/kg）</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sz w:val="18"/>
                <w:szCs w:val="18"/>
                <w:lang w:val="en-US" w:eastAsia="zh-CN"/>
              </w:rPr>
            </w:pPr>
          </w:p>
        </w:tc>
        <w:tc>
          <w:tcPr>
            <w:tcW w:w="3047" w:type="dxa"/>
            <w:gridSpan w:val="2"/>
            <w:noWrap w:val="0"/>
            <w:vAlign w:val="center"/>
          </w:tcPr>
          <w:p>
            <w:pPr>
              <w:keepNext w:val="0"/>
              <w:keepLines w:val="0"/>
              <w:widowControl/>
              <w:suppressLineNumbers w:val="0"/>
              <w:jc w:val="center"/>
              <w:rPr>
                <w:rFonts w:hint="eastAsia"/>
                <w:sz w:val="18"/>
                <w:szCs w:val="18"/>
                <w:lang w:val="en-US" w:eastAsia="zh-CN"/>
              </w:rPr>
            </w:pPr>
            <w:r>
              <w:rPr>
                <w:rFonts w:ascii="仿宋" w:hAnsi="仿宋" w:eastAsia="仿宋" w:cs="仿宋"/>
                <w:color w:val="000000"/>
                <w:kern w:val="0"/>
                <w:sz w:val="21"/>
                <w:szCs w:val="21"/>
                <w:lang w:val="en-US" w:eastAsia="zh-CN" w:bidi="ar"/>
              </w:rPr>
              <w:t>壬基酚</w:t>
            </w:r>
          </w:p>
        </w:tc>
        <w:tc>
          <w:tcPr>
            <w:tcW w:w="3332"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8"/>
                <w:szCs w:val="18"/>
                <w:lang w:val="en-US" w:eastAsia="zh-CN"/>
              </w:rPr>
            </w:pPr>
            <w:r>
              <w:rPr>
                <w:rFonts w:hint="eastAsia"/>
                <w:sz w:val="18"/>
                <w:szCs w:val="18"/>
                <w:lang w:val="en-US" w:eastAsia="zh-CN"/>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82" w:type="dxa"/>
            <w:vMerge w:val="continue"/>
            <w:noWrap w:val="0"/>
            <w:vAlign w:val="top"/>
          </w:tcPr>
          <w:p>
            <w:pPr>
              <w:pStyle w:val="12"/>
              <w:widowControl w:val="0"/>
              <w:rPr>
                <w:rFonts w:hint="default"/>
                <w:vertAlign w:val="baseline"/>
                <w:lang w:val="en-US" w:eastAsia="zh-CN"/>
              </w:rPr>
            </w:pPr>
          </w:p>
        </w:tc>
        <w:tc>
          <w:tcPr>
            <w:tcW w:w="20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sz w:val="18"/>
                <w:szCs w:val="18"/>
                <w:lang w:val="en-US" w:eastAsia="zh-CN"/>
              </w:rPr>
            </w:pPr>
          </w:p>
        </w:tc>
        <w:tc>
          <w:tcPr>
            <w:tcW w:w="3047" w:type="dxa"/>
            <w:gridSpan w:val="2"/>
            <w:noWrap w:val="0"/>
            <w:vAlign w:val="center"/>
          </w:tcPr>
          <w:p>
            <w:pPr>
              <w:keepNext w:val="0"/>
              <w:keepLines w:val="0"/>
              <w:widowControl/>
              <w:suppressLineNumbers w:val="0"/>
              <w:jc w:val="center"/>
              <w:rPr>
                <w:rFonts w:hint="eastAsia"/>
                <w:sz w:val="18"/>
                <w:szCs w:val="18"/>
                <w:lang w:val="en-US" w:eastAsia="zh-CN"/>
              </w:rPr>
            </w:pPr>
            <w:r>
              <w:rPr>
                <w:rFonts w:ascii="仿宋" w:hAnsi="仿宋" w:eastAsia="仿宋" w:cs="仿宋"/>
                <w:color w:val="000000"/>
                <w:kern w:val="0"/>
                <w:sz w:val="21"/>
                <w:szCs w:val="21"/>
                <w:lang w:val="en-US" w:eastAsia="zh-CN" w:bidi="ar"/>
              </w:rPr>
              <w:t>辛基酚</w:t>
            </w:r>
          </w:p>
        </w:tc>
        <w:tc>
          <w:tcPr>
            <w:tcW w:w="3332"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8"/>
                <w:szCs w:val="18"/>
                <w:lang w:val="en-US" w:eastAsia="zh-CN"/>
              </w:rPr>
            </w:pPr>
            <w:r>
              <w:rPr>
                <w:rFonts w:hint="eastAsia"/>
                <w:sz w:val="18"/>
                <w:szCs w:val="18"/>
                <w:lang w:val="en-US" w:eastAsia="zh-CN"/>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82" w:type="dxa"/>
            <w:vMerge w:val="continue"/>
            <w:noWrap w:val="0"/>
            <w:vAlign w:val="top"/>
          </w:tcPr>
          <w:p>
            <w:pPr>
              <w:pStyle w:val="12"/>
              <w:widowControl w:val="0"/>
              <w:rPr>
                <w:rFonts w:hint="default"/>
                <w:vertAlign w:val="baseline"/>
                <w:lang w:val="en-US" w:eastAsia="zh-CN"/>
              </w:rPr>
            </w:pPr>
          </w:p>
        </w:tc>
        <w:tc>
          <w:tcPr>
            <w:tcW w:w="20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sz w:val="18"/>
                <w:szCs w:val="18"/>
                <w:lang w:val="en-US" w:eastAsia="zh-CN"/>
              </w:rPr>
            </w:pPr>
          </w:p>
        </w:tc>
        <w:tc>
          <w:tcPr>
            <w:tcW w:w="3047" w:type="dxa"/>
            <w:gridSpan w:val="2"/>
            <w:noWrap w:val="0"/>
            <w:vAlign w:val="center"/>
          </w:tcPr>
          <w:p>
            <w:pPr>
              <w:keepNext w:val="0"/>
              <w:keepLines w:val="0"/>
              <w:widowControl/>
              <w:suppressLineNumbers w:val="0"/>
              <w:jc w:val="center"/>
              <w:rPr>
                <w:rFonts w:hint="eastAsia"/>
                <w:sz w:val="18"/>
                <w:szCs w:val="18"/>
                <w:lang w:val="en-US" w:eastAsia="zh-CN"/>
              </w:rPr>
            </w:pPr>
            <w:r>
              <w:rPr>
                <w:rFonts w:ascii="仿宋" w:hAnsi="仿宋" w:eastAsia="仿宋" w:cs="仿宋"/>
                <w:color w:val="000000"/>
                <w:kern w:val="0"/>
                <w:sz w:val="21"/>
                <w:szCs w:val="21"/>
                <w:lang w:val="en-US" w:eastAsia="zh-CN" w:bidi="ar"/>
              </w:rPr>
              <w:t>壬基酚聚氧乙烯醚</w:t>
            </w:r>
          </w:p>
        </w:tc>
        <w:tc>
          <w:tcPr>
            <w:tcW w:w="3332"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8"/>
                <w:szCs w:val="18"/>
                <w:lang w:val="en-US" w:eastAsia="zh-CN"/>
              </w:rPr>
            </w:pPr>
            <w:r>
              <w:rPr>
                <w:rFonts w:hint="eastAsia"/>
                <w:sz w:val="18"/>
                <w:szCs w:val="18"/>
                <w:lang w:val="en-US" w:eastAsia="zh-CN"/>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82" w:type="dxa"/>
            <w:vMerge w:val="continue"/>
            <w:noWrap w:val="0"/>
            <w:vAlign w:val="top"/>
          </w:tcPr>
          <w:p>
            <w:pPr>
              <w:pStyle w:val="12"/>
              <w:widowControl w:val="0"/>
              <w:rPr>
                <w:rFonts w:hint="default"/>
                <w:vertAlign w:val="baseline"/>
                <w:lang w:val="en-US" w:eastAsia="zh-CN"/>
              </w:rPr>
            </w:pPr>
          </w:p>
        </w:tc>
        <w:tc>
          <w:tcPr>
            <w:tcW w:w="20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sz w:val="18"/>
                <w:szCs w:val="18"/>
                <w:lang w:val="en-US" w:eastAsia="zh-CN"/>
              </w:rPr>
            </w:pPr>
          </w:p>
        </w:tc>
        <w:tc>
          <w:tcPr>
            <w:tcW w:w="3047" w:type="dxa"/>
            <w:gridSpan w:val="2"/>
            <w:noWrap w:val="0"/>
            <w:vAlign w:val="center"/>
          </w:tcPr>
          <w:p>
            <w:pPr>
              <w:keepNext w:val="0"/>
              <w:keepLines w:val="0"/>
              <w:widowControl/>
              <w:suppressLineNumbers w:val="0"/>
              <w:jc w:val="center"/>
              <w:rPr>
                <w:rFonts w:hint="eastAsia"/>
                <w:sz w:val="18"/>
                <w:szCs w:val="18"/>
                <w:lang w:val="en-US" w:eastAsia="zh-CN"/>
              </w:rPr>
            </w:pPr>
            <w:r>
              <w:rPr>
                <w:rFonts w:ascii="仿宋" w:hAnsi="仿宋" w:eastAsia="仿宋" w:cs="仿宋"/>
                <w:color w:val="000000"/>
                <w:kern w:val="0"/>
                <w:sz w:val="21"/>
                <w:szCs w:val="21"/>
                <w:lang w:val="en-US" w:eastAsia="zh-CN" w:bidi="ar"/>
              </w:rPr>
              <w:t>辛基聚氧乙烯醚</w:t>
            </w:r>
          </w:p>
        </w:tc>
        <w:tc>
          <w:tcPr>
            <w:tcW w:w="3332"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8"/>
                <w:szCs w:val="18"/>
                <w:lang w:val="en-US" w:eastAsia="zh-CN"/>
              </w:rPr>
            </w:pPr>
            <w:r>
              <w:rPr>
                <w:rFonts w:hint="eastAsia"/>
                <w:sz w:val="18"/>
                <w:szCs w:val="18"/>
                <w:lang w:val="en-US" w:eastAsia="zh-CN"/>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pStyle w:val="12"/>
              <w:widowControl w:val="0"/>
              <w:rPr>
                <w:rFonts w:hint="default"/>
                <w:vertAlign w:val="baseline"/>
                <w:lang w:val="en-US" w:eastAsia="zh-CN"/>
              </w:rPr>
            </w:pPr>
          </w:p>
        </w:tc>
        <w:tc>
          <w:tcPr>
            <w:tcW w:w="5062" w:type="dxa"/>
            <w:gridSpan w:val="3"/>
            <w:noWrap w:val="0"/>
            <w:vAlign w:val="top"/>
          </w:tcPr>
          <w:p>
            <w:pPr>
              <w:pStyle w:val="12"/>
              <w:widowControl w:val="0"/>
              <w:rPr>
                <w:rFonts w:hint="default"/>
                <w:vertAlign w:val="baseline"/>
                <w:lang w:val="en-US" w:eastAsia="zh-CN"/>
              </w:rPr>
            </w:pPr>
            <w:r>
              <w:rPr>
                <w:rFonts w:hint="eastAsia"/>
                <w:sz w:val="18"/>
                <w:szCs w:val="18"/>
                <w:lang w:val="en-US" w:eastAsia="zh-CN"/>
              </w:rPr>
              <w:t xml:space="preserve">挥发性有机物（VOC）/ （g/L）                  </w:t>
            </w:r>
          </w:p>
        </w:tc>
        <w:tc>
          <w:tcPr>
            <w:tcW w:w="3332" w:type="dxa"/>
            <w:noWrap w:val="0"/>
            <w:vAlign w:val="center"/>
          </w:tcPr>
          <w:p>
            <w:pPr>
              <w:widowControl/>
              <w:wordWrap w:val="0"/>
              <w:spacing w:before="100" w:beforeAutospacing="1" w:after="100" w:afterAutospacing="1" w:line="180" w:lineRule="atLeast"/>
              <w:jc w:val="center"/>
              <w:rPr>
                <w:rFonts w:hint="default"/>
                <w:vertAlign w:val="baseline"/>
                <w:lang w:val="en-US" w:eastAsia="zh-CN"/>
              </w:rPr>
            </w:pPr>
            <w:r>
              <w:rPr>
                <w:rFonts w:hint="eastAsia" w:ascii="仿宋_GB2312" w:hAnsi="宋体" w:eastAsia="仿宋_GB2312" w:cs="宋体"/>
                <w:kern w:val="0"/>
                <w:sz w:val="20"/>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82" w:type="dxa"/>
            <w:vMerge w:val="continue"/>
            <w:noWrap w:val="0"/>
            <w:vAlign w:val="top"/>
          </w:tcPr>
          <w:p>
            <w:pPr>
              <w:pStyle w:val="12"/>
              <w:widowControl w:val="0"/>
              <w:rPr>
                <w:rFonts w:hint="default"/>
                <w:vertAlign w:val="baseline"/>
                <w:lang w:val="en-US" w:eastAsia="zh-CN"/>
              </w:rPr>
            </w:pPr>
          </w:p>
        </w:tc>
        <w:tc>
          <w:tcPr>
            <w:tcW w:w="2937" w:type="dxa"/>
            <w:gridSpan w:val="2"/>
            <w:vMerge w:val="restart"/>
            <w:noWrap w:val="0"/>
            <w:vAlign w:val="center"/>
          </w:tcPr>
          <w:p>
            <w:pPr>
              <w:pStyle w:val="12"/>
              <w:widowControl w:val="0"/>
              <w:jc w:val="center"/>
              <w:rPr>
                <w:rFonts w:hint="default"/>
                <w:vertAlign w:val="baseline"/>
                <w:lang w:val="en-US" w:eastAsia="zh-CN"/>
              </w:rPr>
            </w:pPr>
            <w:r>
              <w:rPr>
                <w:rFonts w:hint="eastAsia"/>
                <w:sz w:val="18"/>
                <w:szCs w:val="18"/>
                <w:lang w:val="en-US" w:eastAsia="zh-CN"/>
              </w:rPr>
              <w:t xml:space="preserve">重金属含量/ （mg/kg）    </w:t>
            </w: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eastAsia"/>
                <w:sz w:val="18"/>
                <w:szCs w:val="18"/>
                <w:lang w:val="en-US" w:eastAsia="zh-CN"/>
              </w:rPr>
              <w:t>铅（Pb）</w:t>
            </w:r>
          </w:p>
        </w:tc>
        <w:tc>
          <w:tcPr>
            <w:tcW w:w="3332" w:type="dxa"/>
            <w:noWrap w:val="0"/>
            <w:vAlign w:val="center"/>
          </w:tcPr>
          <w:p>
            <w:pPr>
              <w:widowControl/>
              <w:wordWrap w:val="0"/>
              <w:spacing w:before="100" w:beforeAutospacing="1" w:after="100" w:afterAutospacing="1"/>
              <w:jc w:val="center"/>
              <w:rPr>
                <w:rFonts w:hint="default"/>
                <w:vertAlign w:val="baseline"/>
                <w:lang w:val="en-US" w:eastAsia="zh-CN"/>
              </w:rPr>
            </w:pPr>
            <w:r>
              <w:rPr>
                <w:rFonts w:hint="eastAsia" w:ascii="仿宋_GB2312" w:hAnsi="宋体" w:eastAsia="仿宋_GB2312" w:cs="宋体"/>
                <w:kern w:val="0"/>
                <w:sz w:val="20"/>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82" w:type="dxa"/>
            <w:vMerge w:val="continue"/>
            <w:noWrap w:val="0"/>
            <w:vAlign w:val="top"/>
          </w:tcPr>
          <w:p>
            <w:pPr>
              <w:pStyle w:val="12"/>
              <w:widowControl w:val="0"/>
              <w:rPr>
                <w:rFonts w:hint="default"/>
                <w:vertAlign w:val="baseline"/>
                <w:lang w:val="en-US" w:eastAsia="zh-CN"/>
              </w:rPr>
            </w:pPr>
          </w:p>
        </w:tc>
        <w:tc>
          <w:tcPr>
            <w:tcW w:w="2937" w:type="dxa"/>
            <w:gridSpan w:val="2"/>
            <w:vMerge w:val="continue"/>
            <w:noWrap w:val="0"/>
            <w:vAlign w:val="top"/>
          </w:tcPr>
          <w:p>
            <w:pPr>
              <w:pStyle w:val="12"/>
              <w:widowControl w:val="0"/>
              <w:rPr>
                <w:rFonts w:hint="default"/>
                <w:vertAlign w:val="baseline"/>
                <w:lang w:val="en-US" w:eastAsia="zh-CN"/>
              </w:rPr>
            </w:pP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eastAsia"/>
                <w:sz w:val="18"/>
                <w:szCs w:val="18"/>
                <w:lang w:val="en-US" w:eastAsia="zh-CN"/>
              </w:rPr>
              <w:t>铬（Cr）</w:t>
            </w:r>
          </w:p>
        </w:tc>
        <w:tc>
          <w:tcPr>
            <w:tcW w:w="3332" w:type="dxa"/>
            <w:noWrap w:val="0"/>
            <w:vAlign w:val="center"/>
          </w:tcPr>
          <w:p>
            <w:pPr>
              <w:widowControl/>
              <w:wordWrap w:val="0"/>
              <w:spacing w:before="100" w:beforeAutospacing="1" w:after="100" w:afterAutospacing="1"/>
              <w:jc w:val="center"/>
              <w:rPr>
                <w:rFonts w:hint="default"/>
                <w:vertAlign w:val="baseline"/>
                <w:lang w:val="en-US" w:eastAsia="zh-CN"/>
              </w:rPr>
            </w:pPr>
            <w:r>
              <w:rPr>
                <w:rFonts w:hint="eastAsia" w:ascii="仿宋_GB2312" w:hAnsi="宋体" w:eastAsia="仿宋_GB2312" w:cs="宋体"/>
                <w:kern w:val="0"/>
                <w:sz w:val="20"/>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pStyle w:val="12"/>
              <w:widowControl w:val="0"/>
              <w:rPr>
                <w:rFonts w:hint="default"/>
                <w:vertAlign w:val="baseline"/>
                <w:lang w:val="en-US" w:eastAsia="zh-CN"/>
              </w:rPr>
            </w:pPr>
          </w:p>
        </w:tc>
        <w:tc>
          <w:tcPr>
            <w:tcW w:w="2937" w:type="dxa"/>
            <w:gridSpan w:val="2"/>
            <w:vMerge w:val="continue"/>
            <w:noWrap w:val="0"/>
            <w:vAlign w:val="top"/>
          </w:tcPr>
          <w:p>
            <w:pPr>
              <w:pStyle w:val="12"/>
              <w:widowControl w:val="0"/>
              <w:rPr>
                <w:rFonts w:hint="default"/>
                <w:vertAlign w:val="baseline"/>
                <w:lang w:val="en-US" w:eastAsia="zh-CN"/>
              </w:rPr>
            </w:pP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eastAsia"/>
                <w:sz w:val="18"/>
                <w:szCs w:val="18"/>
                <w:lang w:val="en-US" w:eastAsia="zh-CN"/>
              </w:rPr>
              <w:t>镉（Cd）</w:t>
            </w:r>
          </w:p>
        </w:tc>
        <w:tc>
          <w:tcPr>
            <w:tcW w:w="3332" w:type="dxa"/>
            <w:noWrap w:val="0"/>
            <w:vAlign w:val="center"/>
          </w:tcPr>
          <w:p>
            <w:pPr>
              <w:widowControl/>
              <w:wordWrap w:val="0"/>
              <w:spacing w:before="100" w:beforeAutospacing="1" w:after="100" w:afterAutospacing="1"/>
              <w:jc w:val="center"/>
              <w:rPr>
                <w:rFonts w:hint="default"/>
                <w:vertAlign w:val="baseline"/>
                <w:lang w:val="en-US" w:eastAsia="zh-CN"/>
              </w:rPr>
            </w:pPr>
            <w:r>
              <w:rPr>
                <w:rFonts w:hint="eastAsia" w:ascii="仿宋_GB2312" w:hAnsi="宋体" w:eastAsia="仿宋_GB2312" w:cs="宋体"/>
                <w:kern w:val="0"/>
                <w:sz w:val="20"/>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pStyle w:val="12"/>
              <w:widowControl w:val="0"/>
              <w:rPr>
                <w:rFonts w:hint="default"/>
                <w:vertAlign w:val="baseline"/>
                <w:lang w:val="en-US" w:eastAsia="zh-CN"/>
              </w:rPr>
            </w:pPr>
          </w:p>
        </w:tc>
        <w:tc>
          <w:tcPr>
            <w:tcW w:w="2937" w:type="dxa"/>
            <w:gridSpan w:val="2"/>
            <w:vMerge w:val="continue"/>
            <w:noWrap w:val="0"/>
            <w:vAlign w:val="top"/>
          </w:tcPr>
          <w:p>
            <w:pPr>
              <w:pStyle w:val="12"/>
              <w:widowControl w:val="0"/>
              <w:rPr>
                <w:rFonts w:hint="default"/>
                <w:vertAlign w:val="baseline"/>
                <w:lang w:val="en-US" w:eastAsia="zh-CN"/>
              </w:rPr>
            </w:pP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eastAsia"/>
                <w:sz w:val="18"/>
                <w:szCs w:val="18"/>
                <w:lang w:val="en-US" w:eastAsia="zh-CN"/>
              </w:rPr>
              <w:t>汞（Hg）</w:t>
            </w:r>
          </w:p>
        </w:tc>
        <w:tc>
          <w:tcPr>
            <w:tcW w:w="3332" w:type="dxa"/>
            <w:noWrap w:val="0"/>
            <w:vAlign w:val="center"/>
          </w:tcPr>
          <w:p>
            <w:pPr>
              <w:widowControl/>
              <w:wordWrap w:val="0"/>
              <w:spacing w:before="100" w:beforeAutospacing="1" w:after="100" w:afterAutospacing="1"/>
              <w:jc w:val="center"/>
              <w:rPr>
                <w:rFonts w:hint="default"/>
                <w:vertAlign w:val="baseline"/>
                <w:lang w:val="en-US" w:eastAsia="zh-CN"/>
              </w:rPr>
            </w:pPr>
            <w:r>
              <w:rPr>
                <w:rFonts w:hint="eastAsia" w:ascii="仿宋_GB2312" w:hAnsi="宋体" w:eastAsia="仿宋_GB2312" w:cs="宋体"/>
                <w:kern w:val="0"/>
                <w:sz w:val="20"/>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pStyle w:val="12"/>
              <w:widowControl w:val="0"/>
              <w:rPr>
                <w:rFonts w:hint="default"/>
                <w:vertAlign w:val="baseline"/>
                <w:lang w:val="en-US" w:eastAsia="zh-CN"/>
              </w:rPr>
            </w:pPr>
          </w:p>
        </w:tc>
        <w:tc>
          <w:tcPr>
            <w:tcW w:w="2937" w:type="dxa"/>
            <w:gridSpan w:val="2"/>
            <w:vMerge w:val="continue"/>
            <w:noWrap w:val="0"/>
            <w:vAlign w:val="top"/>
          </w:tcPr>
          <w:p>
            <w:pPr>
              <w:pStyle w:val="12"/>
              <w:widowControl w:val="0"/>
              <w:rPr>
                <w:rFonts w:hint="default"/>
                <w:vertAlign w:val="baseline"/>
                <w:lang w:val="en-US" w:eastAsia="zh-CN"/>
              </w:rPr>
            </w:pP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eastAsia"/>
                <w:sz w:val="18"/>
                <w:szCs w:val="18"/>
                <w:lang w:val="en-US" w:eastAsia="zh-CN"/>
              </w:rPr>
              <w:t>锑（Sb)</w:t>
            </w:r>
          </w:p>
        </w:tc>
        <w:tc>
          <w:tcPr>
            <w:tcW w:w="3332" w:type="dxa"/>
            <w:noWrap w:val="0"/>
            <w:vAlign w:val="center"/>
          </w:tcPr>
          <w:p>
            <w:pPr>
              <w:widowControl/>
              <w:wordWrap w:val="0"/>
              <w:spacing w:before="100" w:beforeAutospacing="1" w:after="100" w:afterAutospacing="1"/>
              <w:jc w:val="center"/>
              <w:rPr>
                <w:rFonts w:hint="default"/>
                <w:vertAlign w:val="baseline"/>
                <w:lang w:val="en-US" w:eastAsia="zh-CN"/>
              </w:rPr>
            </w:pPr>
            <w:r>
              <w:rPr>
                <w:rFonts w:hint="eastAsia" w:ascii="仿宋_GB2312" w:hAnsi="宋体" w:eastAsia="仿宋_GB2312" w:cs="宋体"/>
                <w:kern w:val="0"/>
                <w:sz w:val="20"/>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282" w:type="dxa"/>
            <w:vMerge w:val="continue"/>
            <w:noWrap w:val="0"/>
            <w:vAlign w:val="top"/>
          </w:tcPr>
          <w:p>
            <w:pPr>
              <w:pStyle w:val="12"/>
              <w:widowControl w:val="0"/>
              <w:rPr>
                <w:rFonts w:hint="default"/>
                <w:vertAlign w:val="baseline"/>
                <w:lang w:val="en-US" w:eastAsia="zh-CN"/>
              </w:rPr>
            </w:pPr>
          </w:p>
        </w:tc>
        <w:tc>
          <w:tcPr>
            <w:tcW w:w="2937" w:type="dxa"/>
            <w:gridSpan w:val="2"/>
            <w:vMerge w:val="continue"/>
            <w:noWrap w:val="0"/>
            <w:vAlign w:val="top"/>
          </w:tcPr>
          <w:p>
            <w:pPr>
              <w:pStyle w:val="12"/>
              <w:widowControl w:val="0"/>
              <w:rPr>
                <w:rFonts w:hint="default"/>
                <w:vertAlign w:val="baseline"/>
                <w:lang w:val="en-US" w:eastAsia="zh-CN"/>
              </w:rPr>
            </w:pP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eastAsia"/>
                <w:sz w:val="18"/>
                <w:szCs w:val="18"/>
                <w:lang w:val="en-US" w:eastAsia="zh-CN"/>
              </w:rPr>
              <w:t>砷（As）</w:t>
            </w:r>
          </w:p>
        </w:tc>
        <w:tc>
          <w:tcPr>
            <w:tcW w:w="3332" w:type="dxa"/>
            <w:noWrap w:val="0"/>
            <w:vAlign w:val="center"/>
          </w:tcPr>
          <w:p>
            <w:pPr>
              <w:widowControl/>
              <w:wordWrap w:val="0"/>
              <w:spacing w:before="100" w:beforeAutospacing="1" w:after="100" w:afterAutospacing="1"/>
              <w:jc w:val="center"/>
              <w:rPr>
                <w:rFonts w:hint="default"/>
                <w:vertAlign w:val="baseline"/>
                <w:lang w:val="en-US" w:eastAsia="zh-CN"/>
              </w:rPr>
            </w:pPr>
            <w:r>
              <w:rPr>
                <w:rFonts w:hint="eastAsia" w:ascii="仿宋_GB2312" w:hAnsi="宋体" w:eastAsia="仿宋_GB2312" w:cs="宋体"/>
                <w:kern w:val="0"/>
                <w:sz w:val="20"/>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pStyle w:val="12"/>
              <w:widowControl w:val="0"/>
              <w:rPr>
                <w:rFonts w:hint="default"/>
                <w:vertAlign w:val="baseline"/>
                <w:lang w:val="en-US" w:eastAsia="zh-CN"/>
              </w:rPr>
            </w:pPr>
          </w:p>
        </w:tc>
        <w:tc>
          <w:tcPr>
            <w:tcW w:w="2937" w:type="dxa"/>
            <w:gridSpan w:val="2"/>
            <w:vMerge w:val="continue"/>
            <w:noWrap w:val="0"/>
            <w:vAlign w:val="top"/>
          </w:tcPr>
          <w:p>
            <w:pPr>
              <w:pStyle w:val="12"/>
              <w:widowControl w:val="0"/>
              <w:rPr>
                <w:rFonts w:hint="default"/>
                <w:vertAlign w:val="baseline"/>
                <w:lang w:val="en-US" w:eastAsia="zh-CN"/>
              </w:rPr>
            </w:pP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eastAsia"/>
                <w:sz w:val="18"/>
                <w:szCs w:val="18"/>
                <w:lang w:val="en-US" w:eastAsia="zh-CN"/>
              </w:rPr>
              <w:t>钡（Ba）</w:t>
            </w:r>
          </w:p>
        </w:tc>
        <w:tc>
          <w:tcPr>
            <w:tcW w:w="3332" w:type="dxa"/>
            <w:noWrap w:val="0"/>
            <w:vAlign w:val="center"/>
          </w:tcPr>
          <w:p>
            <w:pPr>
              <w:widowControl/>
              <w:spacing w:before="100" w:beforeAutospacing="1" w:after="100" w:afterAutospacing="1"/>
              <w:jc w:val="center"/>
              <w:rPr>
                <w:rFonts w:hint="default"/>
                <w:vertAlign w:val="baseline"/>
                <w:lang w:val="en-US" w:eastAsia="zh-CN"/>
              </w:rPr>
            </w:pPr>
            <w:r>
              <w:rPr>
                <w:rFonts w:hint="eastAsia" w:ascii="仿宋_GB2312" w:hAnsi="宋体" w:eastAsia="仿宋_GB2312" w:cs="宋体"/>
                <w:kern w:val="0"/>
                <w:sz w:val="20"/>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pStyle w:val="12"/>
              <w:widowControl w:val="0"/>
              <w:rPr>
                <w:rFonts w:hint="default"/>
                <w:vertAlign w:val="baseline"/>
                <w:lang w:val="en-US" w:eastAsia="zh-CN"/>
              </w:rPr>
            </w:pPr>
          </w:p>
        </w:tc>
        <w:tc>
          <w:tcPr>
            <w:tcW w:w="2937" w:type="dxa"/>
            <w:gridSpan w:val="2"/>
            <w:vMerge w:val="continue"/>
            <w:noWrap w:val="0"/>
            <w:vAlign w:val="top"/>
          </w:tcPr>
          <w:p>
            <w:pPr>
              <w:pStyle w:val="12"/>
              <w:widowControl w:val="0"/>
              <w:rPr>
                <w:rFonts w:hint="default"/>
                <w:vertAlign w:val="baseline"/>
                <w:lang w:val="en-US" w:eastAsia="zh-CN"/>
              </w:rPr>
            </w:pP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vertAlign w:val="baseline"/>
                <w:lang w:val="en-US" w:eastAsia="zh-CN"/>
              </w:rPr>
            </w:pPr>
            <w:r>
              <w:rPr>
                <w:rFonts w:hint="eastAsia"/>
                <w:sz w:val="18"/>
                <w:szCs w:val="18"/>
                <w:lang w:val="en-US" w:eastAsia="zh-CN"/>
              </w:rPr>
              <w:t>硒（Se）</w:t>
            </w:r>
          </w:p>
        </w:tc>
        <w:tc>
          <w:tcPr>
            <w:tcW w:w="3332" w:type="dxa"/>
            <w:noWrap w:val="0"/>
            <w:vAlign w:val="center"/>
          </w:tcPr>
          <w:p>
            <w:pPr>
              <w:widowControl/>
              <w:wordWrap w:val="0"/>
              <w:spacing w:before="100" w:beforeAutospacing="1" w:after="100" w:afterAutospacing="1"/>
              <w:jc w:val="center"/>
              <w:rPr>
                <w:rFonts w:hint="default"/>
                <w:vertAlign w:val="baseline"/>
                <w:lang w:val="en-US" w:eastAsia="zh-CN"/>
              </w:rPr>
            </w:pPr>
            <w:r>
              <w:rPr>
                <w:rFonts w:hint="eastAsia" w:ascii="仿宋_GB2312" w:hAnsi="宋体" w:eastAsia="仿宋_GB2312" w:cs="宋体"/>
                <w:kern w:val="0"/>
                <w:sz w:val="20"/>
                <w:szCs w:val="18"/>
              </w:rPr>
              <w:t>≤100</w:t>
            </w:r>
          </w:p>
        </w:tc>
      </w:tr>
    </w:tbl>
    <w:p/>
    <w:p>
      <w:pPr>
        <w:pStyle w:val="10"/>
        <w:numPr>
          <w:ilvl w:val="0"/>
          <w:numId w:val="0"/>
        </w:numPr>
        <w:spacing w:before="312" w:after="312"/>
        <w:jc w:val="left"/>
        <w:rPr>
          <w:rFonts w:hAnsi="黑体"/>
          <w:sz w:val="24"/>
          <w:szCs w:val="24"/>
        </w:rPr>
      </w:pPr>
      <w:r>
        <w:rPr>
          <w:rFonts w:hint="eastAsia" w:hAnsi="黑体"/>
          <w:sz w:val="24"/>
          <w:szCs w:val="24"/>
        </w:rPr>
        <w:t>4.3.4试验方法</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标准规定的技术要求，都规定了相应的试验方法，所有的试验方法均按国家或行业标准的方法实施。</w:t>
      </w:r>
    </w:p>
    <w:p>
      <w:pPr>
        <w:pStyle w:val="10"/>
        <w:numPr>
          <w:ilvl w:val="0"/>
          <w:numId w:val="0"/>
        </w:numPr>
        <w:spacing w:before="312" w:after="312"/>
        <w:jc w:val="left"/>
        <w:rPr>
          <w:rFonts w:hint="eastAsia" w:hAnsi="黑体"/>
          <w:sz w:val="24"/>
          <w:szCs w:val="24"/>
        </w:rPr>
      </w:pPr>
      <w:r>
        <w:rPr>
          <w:rFonts w:hint="eastAsia" w:hAnsi="黑体"/>
          <w:sz w:val="24"/>
          <w:szCs w:val="24"/>
        </w:rPr>
        <w:t>4.3.4.1内在质量试验方法</w:t>
      </w:r>
    </w:p>
    <w:p>
      <w:pPr>
        <w:pStyle w:val="11"/>
        <w:bidi w:val="0"/>
        <w:ind w:firstLine="480" w:firstLineChars="200"/>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1）外观状态用搅棒搅拌后目测。</w:t>
      </w:r>
    </w:p>
    <w:p>
      <w:pPr>
        <w:pStyle w:val="11"/>
        <w:bidi w:val="0"/>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2）黏度按GB/T 9269-2009的规定进行测试。</w:t>
      </w:r>
    </w:p>
    <w:p>
      <w:pPr>
        <w:pStyle w:val="11"/>
        <w:bidi w:val="0"/>
        <w:ind w:firstLine="480" w:firstLineChars="200"/>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3）粒度按GB/T6753.1-2007的规定进行测试。</w:t>
      </w:r>
    </w:p>
    <w:p>
      <w:pPr>
        <w:pStyle w:val="11"/>
        <w:bidi w:val="0"/>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4）固含量按GB/T1725-2007的规定进行测试。</w:t>
      </w:r>
    </w:p>
    <w:p>
      <w:pPr>
        <w:pStyle w:val="11"/>
        <w:bidi w:val="0"/>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5）PH值用酸度计测定。</w:t>
      </w:r>
    </w:p>
    <w:p>
      <w:pPr>
        <w:pStyle w:val="11"/>
        <w:bidi w:val="0"/>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6）颜色按QB/T 4343-2012中5.7的规定进行测试。</w:t>
      </w:r>
    </w:p>
    <w:p>
      <w:pPr>
        <w:pStyle w:val="11"/>
        <w:bidi w:val="0"/>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7）相对着色强度按QB/T 4343-2012中5.8的规定进行测试。</w:t>
      </w:r>
    </w:p>
    <w:p>
      <w:pPr>
        <w:pStyle w:val="10"/>
        <w:numPr>
          <w:ilvl w:val="0"/>
          <w:numId w:val="0"/>
        </w:numPr>
        <w:spacing w:before="312" w:after="312"/>
        <w:jc w:val="left"/>
        <w:rPr>
          <w:rFonts w:hint="eastAsia" w:hAnsi="黑体"/>
          <w:sz w:val="24"/>
          <w:szCs w:val="24"/>
        </w:rPr>
      </w:pPr>
      <w:r>
        <w:rPr>
          <w:rFonts w:hint="eastAsia" w:hAnsi="黑体"/>
          <w:sz w:val="24"/>
          <w:szCs w:val="24"/>
        </w:rPr>
        <w:t>4.3.4.</w:t>
      </w:r>
      <w:r>
        <w:rPr>
          <w:rFonts w:hint="eastAsia" w:hAnsi="黑体"/>
          <w:sz w:val="24"/>
          <w:szCs w:val="24"/>
          <w:lang w:val="en-US" w:eastAsia="zh-CN"/>
        </w:rPr>
        <w:t>2安全性能</w:t>
      </w:r>
      <w:r>
        <w:rPr>
          <w:rFonts w:hint="eastAsia" w:hAnsi="黑体"/>
          <w:sz w:val="24"/>
          <w:szCs w:val="24"/>
        </w:rPr>
        <w:t>试验方法</w:t>
      </w:r>
    </w:p>
    <w:p>
      <w:pPr>
        <w:pStyle w:val="11"/>
        <w:bidi w:val="0"/>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1）甲醛含量按GB 18582-2008中附录C的规定进行测试。</w:t>
      </w:r>
    </w:p>
    <w:p>
      <w:pPr>
        <w:pStyle w:val="11"/>
        <w:bidi w:val="0"/>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2）可分解出致癌芳香胺的偶氮染料按GB/T 19942-2005的规定进行测试。</w:t>
      </w:r>
    </w:p>
    <w:p>
      <w:pPr>
        <w:pStyle w:val="11"/>
        <w:bidi w:val="0"/>
        <w:ind w:firstLine="480" w:firstLineChars="200"/>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3）烷基酚聚氧乙烯醚按QB/T 4046-2010中5.13的规定进行测试。</w:t>
      </w:r>
    </w:p>
    <w:p>
      <w:pPr>
        <w:pStyle w:val="11"/>
        <w:bidi w:val="0"/>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4）挥发性有机物按GB/T 23985-2009的规定进行。</w:t>
      </w:r>
    </w:p>
    <w:p>
      <w:pPr>
        <w:pStyle w:val="11"/>
        <w:bidi w:val="0"/>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5）重金属含量按GB/T 17593-2006的规定进行。。</w:t>
      </w:r>
    </w:p>
    <w:p>
      <w:pPr>
        <w:spacing w:line="500" w:lineRule="exact"/>
        <w:rPr>
          <w:rFonts w:ascii="黑体" w:hAnsi="黑体" w:eastAsia="黑体" w:cs="黑体"/>
          <w:sz w:val="24"/>
        </w:rPr>
      </w:pPr>
      <w:r>
        <w:rPr>
          <w:rFonts w:hint="eastAsia" w:ascii="黑体" w:hAnsi="黑体" w:eastAsia="黑体" w:cs="黑体"/>
          <w:sz w:val="24"/>
        </w:rPr>
        <w:t>4.3.5  检验规则</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标准规定了检验分类(出厂检验和型式检验）以及出厂检验的组批、抽样和判定规则。</w:t>
      </w:r>
    </w:p>
    <w:p>
      <w:pPr>
        <w:spacing w:line="500" w:lineRule="exact"/>
        <w:rPr>
          <w:rFonts w:ascii="黑体" w:hAnsi="黑体" w:eastAsia="黑体" w:cs="黑体"/>
          <w:sz w:val="24"/>
        </w:rPr>
      </w:pPr>
      <w:r>
        <w:rPr>
          <w:rFonts w:hint="eastAsia" w:ascii="黑体" w:hAnsi="黑体" w:eastAsia="黑体" w:cs="黑体"/>
          <w:sz w:val="24"/>
        </w:rPr>
        <w:t>4.3.6  包装、标志、运输及贮存</w:t>
      </w:r>
    </w:p>
    <w:p>
      <w:pPr>
        <w:pStyle w:val="11"/>
        <w:numPr>
          <w:ilvl w:val="1"/>
          <w:numId w:val="0"/>
        </w:numPr>
        <w:tabs>
          <w:tab w:val="left" w:pos="284"/>
          <w:tab w:val="left" w:pos="567"/>
          <w:tab w:val="clear" w:pos="0"/>
        </w:tabs>
        <w:spacing w:beforeLines="0" w:afterLines="0" w:line="360" w:lineRule="auto"/>
        <w:ind w:firstLine="480" w:firstLineChars="200"/>
        <w:rPr>
          <w:rFonts w:hint="eastAsia" w:ascii="仿宋_GB2312" w:hAnsi="宋体" w:eastAsia="仿宋_GB2312" w:cs="Times New Roman"/>
          <w:kern w:val="2"/>
          <w:sz w:val="24"/>
          <w:szCs w:val="24"/>
        </w:rPr>
      </w:pPr>
      <w:r>
        <w:rPr>
          <w:rFonts w:hint="eastAsia" w:ascii="仿宋_GB2312" w:hAnsi="宋体" w:eastAsia="仿宋_GB2312" w:cs="Times New Roman"/>
          <w:kern w:val="2"/>
          <w:sz w:val="24"/>
          <w:szCs w:val="24"/>
          <w:lang w:val="en-US" w:eastAsia="zh-CN"/>
        </w:rPr>
        <w:t>1）</w:t>
      </w:r>
      <w:r>
        <w:rPr>
          <w:rFonts w:hint="eastAsia" w:ascii="仿宋_GB2312" w:hAnsi="宋体" w:eastAsia="仿宋_GB2312" w:cs="Times New Roman"/>
          <w:kern w:val="2"/>
          <w:sz w:val="24"/>
          <w:szCs w:val="24"/>
        </w:rPr>
        <w:t>标志</w:t>
      </w:r>
    </w:p>
    <w:p>
      <w:pPr>
        <w:pStyle w:val="11"/>
        <w:numPr>
          <w:ilvl w:val="1"/>
          <w:numId w:val="0"/>
        </w:numPr>
        <w:tabs>
          <w:tab w:val="left" w:pos="284"/>
          <w:tab w:val="left" w:pos="567"/>
          <w:tab w:val="clear" w:pos="0"/>
        </w:tabs>
        <w:spacing w:beforeLines="0" w:afterLines="0" w:line="360" w:lineRule="auto"/>
        <w:ind w:firstLine="480" w:firstLineChars="200"/>
        <w:rPr>
          <w:rFonts w:hint="eastAsia" w:ascii="仿宋_GB2312" w:hAnsi="宋体" w:eastAsia="仿宋_GB2312" w:cs="Times New Roman"/>
          <w:kern w:val="2"/>
          <w:sz w:val="24"/>
          <w:szCs w:val="24"/>
        </w:rPr>
      </w:pPr>
      <w:r>
        <w:rPr>
          <w:rFonts w:hint="eastAsia" w:ascii="仿宋_GB2312" w:hAnsi="宋体" w:eastAsia="仿宋_GB2312" w:cs="Times New Roman"/>
          <w:kern w:val="2"/>
          <w:sz w:val="24"/>
          <w:szCs w:val="24"/>
        </w:rPr>
        <w:t>包装上应至少标有以下内容：产品名称</w:t>
      </w:r>
      <w:r>
        <w:rPr>
          <w:rFonts w:hint="eastAsia" w:ascii="仿宋_GB2312" w:hAnsi="宋体" w:eastAsia="仿宋_GB2312" w:cs="Times New Roman"/>
          <w:kern w:val="2"/>
          <w:sz w:val="24"/>
          <w:szCs w:val="24"/>
          <w:lang w:eastAsia="zh-CN"/>
        </w:rPr>
        <w:t>；</w:t>
      </w:r>
      <w:r>
        <w:rPr>
          <w:rFonts w:hint="eastAsia" w:ascii="仿宋_GB2312" w:hAnsi="宋体" w:eastAsia="仿宋_GB2312" w:cs="Times New Roman"/>
          <w:kern w:val="2"/>
          <w:sz w:val="24"/>
          <w:szCs w:val="24"/>
          <w:lang w:val="en-US" w:eastAsia="zh-CN"/>
        </w:rPr>
        <w:t>产品型号；制造商（或生产企业）</w:t>
      </w:r>
      <w:r>
        <w:rPr>
          <w:rFonts w:hint="eastAsia" w:ascii="仿宋_GB2312" w:hAnsi="宋体" w:eastAsia="仿宋_GB2312" w:cs="Times New Roman"/>
          <w:kern w:val="2"/>
          <w:sz w:val="24"/>
          <w:szCs w:val="24"/>
        </w:rPr>
        <w:t>名称及地址</w:t>
      </w:r>
      <w:r>
        <w:rPr>
          <w:rFonts w:hint="eastAsia" w:ascii="仿宋_GB2312" w:hAnsi="宋体" w:eastAsia="仿宋_GB2312" w:cs="Times New Roman"/>
          <w:kern w:val="2"/>
          <w:sz w:val="24"/>
          <w:szCs w:val="24"/>
          <w:lang w:eastAsia="zh-CN"/>
        </w:rPr>
        <w:t>；</w:t>
      </w:r>
      <w:r>
        <w:rPr>
          <w:rFonts w:hint="eastAsia" w:ascii="仿宋_GB2312" w:hAnsi="宋体" w:eastAsia="仿宋_GB2312" w:cs="Times New Roman"/>
          <w:kern w:val="2"/>
          <w:sz w:val="24"/>
          <w:szCs w:val="24"/>
        </w:rPr>
        <w:t>执行标准号</w:t>
      </w:r>
      <w:r>
        <w:rPr>
          <w:rFonts w:hint="eastAsia" w:ascii="仿宋_GB2312" w:hAnsi="宋体" w:eastAsia="仿宋_GB2312" w:cs="Times New Roman"/>
          <w:kern w:val="2"/>
          <w:sz w:val="24"/>
          <w:szCs w:val="24"/>
          <w:lang w:eastAsia="zh-CN"/>
        </w:rPr>
        <w:t>；</w:t>
      </w:r>
      <w:r>
        <w:rPr>
          <w:rFonts w:hint="eastAsia" w:ascii="仿宋_GB2312" w:hAnsi="宋体" w:eastAsia="仿宋_GB2312" w:cs="Times New Roman"/>
          <w:kern w:val="2"/>
          <w:sz w:val="24"/>
          <w:szCs w:val="24"/>
        </w:rPr>
        <w:t>产品合格标识</w:t>
      </w:r>
      <w:r>
        <w:rPr>
          <w:rFonts w:hint="eastAsia" w:ascii="仿宋_GB2312" w:hAnsi="宋体" w:eastAsia="仿宋_GB2312" w:cs="Times New Roman"/>
          <w:kern w:val="2"/>
          <w:sz w:val="24"/>
          <w:szCs w:val="24"/>
          <w:lang w:eastAsia="zh-CN"/>
        </w:rPr>
        <w:t>。</w:t>
      </w:r>
      <w:r>
        <w:rPr>
          <w:rFonts w:hint="eastAsia" w:ascii="仿宋_GB2312" w:hAnsi="宋体" w:eastAsia="仿宋_GB2312" w:cs="Times New Roman"/>
          <w:kern w:val="2"/>
          <w:sz w:val="24"/>
          <w:szCs w:val="24"/>
        </w:rPr>
        <w:t>标志应清晰、牢固，不应因运输条件和自然条件而褪色、变色、脱离。</w:t>
      </w:r>
    </w:p>
    <w:p>
      <w:pPr>
        <w:pStyle w:val="11"/>
        <w:numPr>
          <w:ilvl w:val="1"/>
          <w:numId w:val="0"/>
        </w:numPr>
        <w:tabs>
          <w:tab w:val="left" w:pos="284"/>
          <w:tab w:val="left" w:pos="567"/>
          <w:tab w:val="clear" w:pos="0"/>
        </w:tabs>
        <w:spacing w:beforeLines="0" w:afterLines="0" w:line="360" w:lineRule="auto"/>
        <w:ind w:firstLine="480" w:firstLineChars="200"/>
        <w:rPr>
          <w:rFonts w:hint="default" w:ascii="仿宋_GB2312" w:hAnsi="宋体" w:eastAsia="仿宋_GB2312" w:cs="Times New Roman"/>
          <w:kern w:val="2"/>
          <w:sz w:val="24"/>
          <w:szCs w:val="24"/>
          <w:lang w:val="en-US" w:eastAsia="zh-CN"/>
        </w:rPr>
      </w:pPr>
      <w:r>
        <w:rPr>
          <w:rFonts w:hint="eastAsia" w:ascii="仿宋_GB2312" w:hAnsi="宋体" w:eastAsia="仿宋_GB2312" w:cs="Times New Roman"/>
          <w:kern w:val="2"/>
          <w:sz w:val="24"/>
          <w:szCs w:val="24"/>
          <w:lang w:val="en-US" w:eastAsia="zh-CN"/>
        </w:rPr>
        <w:t>2）</w:t>
      </w:r>
      <w:r>
        <w:rPr>
          <w:rFonts w:hint="eastAsia" w:ascii="仿宋_GB2312" w:hAnsi="宋体" w:eastAsia="仿宋_GB2312" w:cs="Times New Roman"/>
          <w:kern w:val="2"/>
          <w:sz w:val="24"/>
          <w:szCs w:val="24"/>
        </w:rPr>
        <w:t>包装</w:t>
      </w:r>
      <w:r>
        <w:rPr>
          <w:rFonts w:hint="eastAsia" w:ascii="仿宋_GB2312" w:hAnsi="宋体" w:eastAsia="仿宋_GB2312" w:cs="Times New Roman"/>
          <w:kern w:val="2"/>
          <w:sz w:val="24"/>
          <w:szCs w:val="24"/>
          <w:lang w:val="en-US" w:eastAsia="zh-CN"/>
        </w:rPr>
        <w:t xml:space="preserve">  按GB/T 13491中二级包装要求的规定进行。</w:t>
      </w:r>
    </w:p>
    <w:p>
      <w:pPr>
        <w:pStyle w:val="11"/>
        <w:numPr>
          <w:ilvl w:val="1"/>
          <w:numId w:val="0"/>
        </w:numPr>
        <w:tabs>
          <w:tab w:val="left" w:pos="284"/>
          <w:tab w:val="left" w:pos="567"/>
          <w:tab w:val="clear" w:pos="0"/>
        </w:tabs>
        <w:spacing w:beforeLines="0" w:afterLines="0" w:line="360" w:lineRule="auto"/>
        <w:ind w:firstLine="480" w:firstLineChars="200"/>
        <w:rPr>
          <w:rFonts w:hint="eastAsia" w:ascii="仿宋_GB2312" w:hAnsi="宋体" w:eastAsia="仿宋_GB2312" w:cs="Times New Roman"/>
          <w:kern w:val="2"/>
          <w:sz w:val="24"/>
          <w:szCs w:val="24"/>
        </w:rPr>
      </w:pPr>
      <w:r>
        <w:rPr>
          <w:rFonts w:hint="eastAsia" w:ascii="仿宋_GB2312" w:hAnsi="宋体" w:eastAsia="仿宋_GB2312" w:cs="Times New Roman"/>
          <w:kern w:val="2"/>
          <w:sz w:val="24"/>
          <w:szCs w:val="24"/>
          <w:lang w:val="en-US" w:eastAsia="zh-CN"/>
        </w:rPr>
        <w:t>3）</w:t>
      </w:r>
      <w:r>
        <w:rPr>
          <w:rFonts w:hint="eastAsia" w:ascii="仿宋_GB2312" w:hAnsi="宋体" w:eastAsia="仿宋_GB2312" w:cs="Times New Roman"/>
          <w:kern w:val="2"/>
          <w:sz w:val="24"/>
          <w:szCs w:val="24"/>
        </w:rPr>
        <w:t>运输产品在运输过程中应避免冲击、挤压、日晒、雨淋及化学品的腐蚀。</w:t>
      </w:r>
    </w:p>
    <w:p>
      <w:pPr>
        <w:pStyle w:val="11"/>
        <w:numPr>
          <w:ilvl w:val="1"/>
          <w:numId w:val="0"/>
        </w:numPr>
        <w:tabs>
          <w:tab w:val="left" w:pos="284"/>
          <w:tab w:val="left" w:pos="567"/>
          <w:tab w:val="clear" w:pos="0"/>
        </w:tabs>
        <w:spacing w:beforeLines="0" w:afterLines="0" w:line="360" w:lineRule="auto"/>
        <w:ind w:firstLine="480" w:firstLineChars="200"/>
        <w:rPr>
          <w:rFonts w:hint="eastAsia" w:ascii="仿宋_GB2312" w:hAnsi="宋体" w:eastAsia="仿宋_GB2312" w:cs="Times New Roman"/>
          <w:kern w:val="2"/>
          <w:sz w:val="24"/>
          <w:szCs w:val="24"/>
        </w:rPr>
      </w:pPr>
      <w:r>
        <w:rPr>
          <w:rFonts w:hint="eastAsia" w:ascii="仿宋_GB2312" w:hAnsi="宋体" w:eastAsia="仿宋_GB2312" w:cs="Times New Roman"/>
          <w:kern w:val="2"/>
          <w:sz w:val="24"/>
          <w:szCs w:val="24"/>
          <w:lang w:val="en-US" w:eastAsia="zh-CN"/>
        </w:rPr>
        <w:t>4）</w:t>
      </w:r>
      <w:r>
        <w:rPr>
          <w:rFonts w:hint="eastAsia" w:ascii="仿宋_GB2312" w:hAnsi="宋体" w:eastAsia="仿宋_GB2312" w:cs="Times New Roman"/>
          <w:kern w:val="2"/>
          <w:sz w:val="24"/>
          <w:szCs w:val="24"/>
        </w:rPr>
        <w:t>贮存产品应贮存在通风、干燥、清洁的仓库，</w:t>
      </w:r>
      <w:r>
        <w:rPr>
          <w:rFonts w:hint="eastAsia" w:ascii="仿宋_GB2312" w:hAnsi="宋体" w:eastAsia="仿宋_GB2312" w:cs="Times New Roman"/>
          <w:kern w:val="2"/>
          <w:sz w:val="24"/>
          <w:szCs w:val="24"/>
          <w:lang w:val="en-US" w:eastAsia="zh-CN"/>
        </w:rPr>
        <w:t>防止阳光直射，冬季应采取适当防冻措施。产品应根据类型定出贮存期，并在包装标志上明示。</w:t>
      </w:r>
    </w:p>
    <w:p>
      <w:pPr>
        <w:spacing w:line="500" w:lineRule="exact"/>
        <w:rPr>
          <w:rFonts w:ascii="黑体" w:hAnsi="黑体" w:eastAsia="黑体" w:cs="黑体"/>
          <w:sz w:val="24"/>
        </w:rPr>
      </w:pPr>
      <w:r>
        <w:rPr>
          <w:rFonts w:hint="eastAsia" w:ascii="黑体" w:hAnsi="黑体" w:eastAsia="黑体" w:cs="黑体"/>
          <w:sz w:val="24"/>
        </w:rPr>
        <w:t>4.3.7  质量承诺</w:t>
      </w:r>
    </w:p>
    <w:p>
      <w:pPr>
        <w:pStyle w:val="11"/>
        <w:numPr>
          <w:ilvl w:val="1"/>
          <w:numId w:val="0"/>
        </w:numPr>
        <w:tabs>
          <w:tab w:val="left" w:pos="284"/>
          <w:tab w:val="left" w:pos="567"/>
          <w:tab w:val="clear" w:pos="0"/>
        </w:tabs>
        <w:spacing w:beforeLines="0" w:afterLines="0" w:line="360" w:lineRule="auto"/>
        <w:ind w:firstLine="480" w:firstLineChars="200"/>
        <w:rPr>
          <w:rFonts w:hint="eastAsia" w:ascii="仿宋_GB2312" w:hAnsi="宋体" w:eastAsia="仿宋_GB2312" w:cs="Times New Roman"/>
          <w:kern w:val="2"/>
          <w:sz w:val="24"/>
          <w:szCs w:val="24"/>
          <w:lang w:val="de-DE"/>
        </w:rPr>
      </w:pPr>
      <w:r>
        <w:rPr>
          <w:rFonts w:hint="eastAsia" w:ascii="仿宋_GB2312" w:hAnsi="宋体" w:eastAsia="仿宋_GB2312" w:cs="Times New Roman"/>
          <w:kern w:val="2"/>
          <w:sz w:val="24"/>
          <w:szCs w:val="24"/>
        </w:rPr>
        <w:t>1）</w:t>
      </w:r>
      <w:r>
        <w:rPr>
          <w:rFonts w:hint="eastAsia" w:ascii="仿宋_GB2312" w:hAnsi="宋体" w:eastAsia="仿宋_GB2312" w:cs="Times New Roman"/>
          <w:kern w:val="2"/>
          <w:sz w:val="24"/>
          <w:szCs w:val="24"/>
          <w:lang w:val="de-DE"/>
        </w:rPr>
        <w:t>每批产品样品留样12个月，保证产品的可追溯性。</w:t>
      </w:r>
    </w:p>
    <w:p>
      <w:pPr>
        <w:pStyle w:val="11"/>
        <w:numPr>
          <w:ilvl w:val="1"/>
          <w:numId w:val="0"/>
        </w:numPr>
        <w:tabs>
          <w:tab w:val="left" w:pos="284"/>
          <w:tab w:val="left" w:pos="567"/>
          <w:tab w:val="clear" w:pos="0"/>
        </w:tabs>
        <w:spacing w:beforeLines="0" w:afterLines="0" w:line="360" w:lineRule="auto"/>
        <w:ind w:firstLine="480" w:firstLineChars="200"/>
        <w:rPr>
          <w:rFonts w:hint="eastAsia" w:ascii="仿宋_GB2312" w:hAnsi="宋体" w:eastAsia="仿宋_GB2312" w:cs="Times New Roman"/>
          <w:kern w:val="2"/>
          <w:sz w:val="24"/>
          <w:szCs w:val="24"/>
          <w:lang w:val="de-DE"/>
        </w:rPr>
      </w:pPr>
      <w:r>
        <w:rPr>
          <w:rFonts w:hint="eastAsia" w:ascii="仿宋_GB2312" w:hAnsi="宋体" w:eastAsia="仿宋_GB2312" w:cs="Times New Roman"/>
          <w:kern w:val="2"/>
          <w:sz w:val="24"/>
          <w:szCs w:val="24"/>
          <w:lang w:val="en-US" w:eastAsia="zh-CN"/>
        </w:rPr>
        <w:t>2）</w:t>
      </w:r>
      <w:r>
        <w:rPr>
          <w:rFonts w:hint="eastAsia" w:ascii="仿宋_GB2312" w:hAnsi="宋体" w:eastAsia="仿宋_GB2312" w:cs="Times New Roman"/>
          <w:kern w:val="2"/>
          <w:sz w:val="24"/>
          <w:szCs w:val="24"/>
          <w:lang w:val="de-DE"/>
        </w:rPr>
        <w:t>建立电话、网络等服务平台，对于产品质量需求，应在 24小时内作出响应。</w:t>
      </w:r>
    </w:p>
    <w:p>
      <w:pPr>
        <w:pStyle w:val="11"/>
        <w:numPr>
          <w:ilvl w:val="1"/>
          <w:numId w:val="0"/>
        </w:numPr>
        <w:tabs>
          <w:tab w:val="left" w:pos="284"/>
          <w:tab w:val="left" w:pos="567"/>
          <w:tab w:val="clear" w:pos="0"/>
        </w:tabs>
        <w:spacing w:beforeLines="0" w:afterLines="0" w:line="360" w:lineRule="auto"/>
        <w:ind w:firstLine="480" w:firstLineChars="200"/>
        <w:rPr>
          <w:rFonts w:hint="eastAsia" w:ascii="仿宋_GB2312" w:hAnsi="宋体" w:eastAsia="仿宋_GB2312" w:cs="Times New Roman"/>
          <w:kern w:val="2"/>
          <w:sz w:val="24"/>
          <w:szCs w:val="24"/>
          <w:lang w:val="de-DE"/>
        </w:rPr>
      </w:pPr>
      <w:r>
        <w:rPr>
          <w:rFonts w:hint="eastAsia" w:ascii="仿宋_GB2312" w:hAnsi="宋体" w:eastAsia="仿宋_GB2312" w:cs="Times New Roman"/>
          <w:kern w:val="2"/>
          <w:sz w:val="24"/>
          <w:szCs w:val="24"/>
          <w:lang w:val="en-US" w:eastAsia="zh-CN"/>
        </w:rPr>
        <w:t>3）</w:t>
      </w:r>
      <w:r>
        <w:rPr>
          <w:rFonts w:hint="eastAsia" w:ascii="仿宋_GB2312" w:hAnsi="宋体" w:eastAsia="仿宋_GB2312" w:cs="Times New Roman"/>
          <w:kern w:val="2"/>
          <w:sz w:val="24"/>
          <w:szCs w:val="24"/>
          <w:lang w:val="de-DE"/>
        </w:rPr>
        <w:t>免费为用户提供提供技术培训。</w:t>
      </w:r>
    </w:p>
    <w:p>
      <w:pPr>
        <w:pStyle w:val="10"/>
        <w:numPr>
          <w:ilvl w:val="0"/>
          <w:numId w:val="0"/>
        </w:numPr>
        <w:spacing w:before="312" w:after="312"/>
        <w:jc w:val="left"/>
        <w:rPr>
          <w:rFonts w:hAnsi="黑体"/>
          <w:sz w:val="24"/>
          <w:szCs w:val="24"/>
        </w:rPr>
      </w:pPr>
      <w:r>
        <w:rPr>
          <w:rFonts w:hint="eastAsia" w:hAnsi="黑体"/>
          <w:sz w:val="24"/>
          <w:szCs w:val="24"/>
        </w:rPr>
        <w:t>5  标准先进性体现</w:t>
      </w:r>
    </w:p>
    <w:p>
      <w:pPr>
        <w:spacing w:line="500" w:lineRule="exact"/>
        <w:rPr>
          <w:rFonts w:ascii="仿宋_GB2312" w:hAnsi="宋体" w:eastAsia="仿宋_GB2312"/>
          <w:sz w:val="24"/>
        </w:rPr>
      </w:pPr>
      <w:r>
        <w:rPr>
          <w:rFonts w:hint="eastAsia" w:ascii="黑体" w:hAnsi="黑体" w:eastAsia="黑体"/>
          <w:sz w:val="24"/>
        </w:rPr>
        <w:t>5.1</w:t>
      </w:r>
      <w:r>
        <w:rPr>
          <w:rFonts w:hint="eastAsia" w:ascii="仿宋_GB2312" w:hAnsi="宋体" w:eastAsia="仿宋_GB2312"/>
          <w:sz w:val="24"/>
        </w:rPr>
        <w:t>型式试验内规定的所有指标对比分析情况。</w:t>
      </w:r>
    </w:p>
    <w:tbl>
      <w:tblPr>
        <w:tblStyle w:val="8"/>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387"/>
        <w:gridCol w:w="395"/>
        <w:gridCol w:w="495"/>
        <w:gridCol w:w="877"/>
        <w:gridCol w:w="1819"/>
        <w:gridCol w:w="1500"/>
        <w:gridCol w:w="1581"/>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60" w:type="dxa"/>
            <w:gridSpan w:val="5"/>
            <w:noWrap w:val="0"/>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项目</w:t>
            </w:r>
          </w:p>
        </w:tc>
        <w:tc>
          <w:tcPr>
            <w:tcW w:w="1819" w:type="dxa"/>
            <w:noWrap w:val="0"/>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QB/T 4343-2012</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《合成革用水性色浆》</w:t>
            </w:r>
          </w:p>
        </w:tc>
        <w:tc>
          <w:tcPr>
            <w:tcW w:w="1500" w:type="dxa"/>
            <w:noWrap w:val="0"/>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竞品企业标准</w:t>
            </w:r>
          </w:p>
        </w:tc>
        <w:tc>
          <w:tcPr>
            <w:tcW w:w="1581" w:type="dxa"/>
            <w:noWrap w:val="0"/>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浙江制造标准</w:t>
            </w:r>
          </w:p>
        </w:tc>
        <w:tc>
          <w:tcPr>
            <w:tcW w:w="676" w:type="dxa"/>
            <w:noWrap w:val="0"/>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技术</w:t>
            </w:r>
            <w:r>
              <w:rPr>
                <w:rFonts w:hint="eastAsia" w:ascii="Calibri" w:hAnsi="Calibri" w:eastAsia="宋体" w:cs="Times New Roman"/>
                <w:kern w:val="2"/>
                <w:sz w:val="18"/>
                <w:szCs w:val="18"/>
                <w:highlight w:val="none"/>
                <w:vertAlign w:val="baseline"/>
                <w:lang w:val="en-US" w:eastAsia="zh-CN" w:bidi="ar-SA"/>
              </w:rPr>
              <w:t>要求</w:t>
            </w:r>
          </w:p>
        </w:tc>
        <w:tc>
          <w:tcPr>
            <w:tcW w:w="21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外观状态</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搅拌后呈均匀状态，无硬块</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搅拌后呈均匀状态，无硬块</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搅拌后呈均匀状态，无硬块</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21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黏度偏差/KU</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±10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商定</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±8</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21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粒径/um</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≤10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≤5</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≤0.5 </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21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固体含量偏差/%</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±2.0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商定</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±1.0</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21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pH值偏差</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±0.8</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未提及</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±0.5</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3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颜色</w:t>
            </w:r>
          </w:p>
        </w:tc>
        <w:tc>
          <w:tcPr>
            <w:tcW w:w="89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原色</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目视法</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近似</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近似</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近似</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3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89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仪器法</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△E≤2.0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△E≤1.0</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△E≤0.8</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3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89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冲淡</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目视法</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近似</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近似</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近似</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3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89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仪器法</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△E≤1.0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△E≤0.8</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△E≤0.5</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3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89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白色</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目视法</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近似</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近似</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近似</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3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89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仪器法</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△E≤2.0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△E≤0.8</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△E≤0.5</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21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相对着色强度/%</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100±5.0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100±5.0</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100±3.0</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560" w:type="dxa"/>
            <w:gridSpan w:val="5"/>
            <w:noWrap w:val="0"/>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项目</w:t>
            </w:r>
          </w:p>
        </w:tc>
        <w:tc>
          <w:tcPr>
            <w:tcW w:w="1819" w:type="dxa"/>
            <w:noWrap w:val="0"/>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QB/T 4343-2012</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《合成革用水性色浆》</w:t>
            </w:r>
          </w:p>
        </w:tc>
        <w:tc>
          <w:tcPr>
            <w:tcW w:w="1500" w:type="dxa"/>
            <w:noWrap w:val="0"/>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竞品企业标准</w:t>
            </w:r>
          </w:p>
        </w:tc>
        <w:tc>
          <w:tcPr>
            <w:tcW w:w="1581" w:type="dxa"/>
            <w:noWrap w:val="0"/>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浙江制造标准</w:t>
            </w:r>
          </w:p>
        </w:tc>
        <w:tc>
          <w:tcPr>
            <w:tcW w:w="676" w:type="dxa"/>
            <w:noWrap w:val="0"/>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0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安全要求</w:t>
            </w:r>
          </w:p>
        </w:tc>
        <w:tc>
          <w:tcPr>
            <w:tcW w:w="2154" w:type="dxa"/>
            <w:gridSpan w:val="4"/>
            <w:noWrap w:val="0"/>
            <w:vAlign w:val="center"/>
          </w:tcPr>
          <w:p>
            <w:pPr>
              <w:pStyle w:val="12"/>
              <w:widowControl w:val="0"/>
              <w:ind w:firstLine="360" w:firstLineChars="200"/>
              <w:jc w:val="center"/>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游离甲醛/（mg/kg）</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≤75</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≤100</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≤70</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2154" w:type="dxa"/>
            <w:gridSpan w:val="4"/>
            <w:noWrap w:val="0"/>
            <w:vAlign w:val="center"/>
          </w:tcPr>
          <w:p>
            <w:pPr>
              <w:pStyle w:val="12"/>
              <w:widowControl w:val="0"/>
              <w:ind w:left="0" w:leftChars="0" w:firstLine="0" w:firstLineChars="0"/>
              <w:jc w:val="center"/>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可分解出致癌芳香胺的染料/ （mg/kg）</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不得检出</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未提及</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不得检出</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782"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烷基苯酚及烷基苯酚</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聚氧乙烯醚（mg/kg）</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1372" w:type="dxa"/>
            <w:gridSpan w:val="2"/>
            <w:noWrap w:val="0"/>
            <w:vAlign w:val="center"/>
          </w:tcPr>
          <w:p>
            <w:pPr>
              <w:keepNext w:val="0"/>
              <w:keepLines w:val="0"/>
              <w:widowControl/>
              <w:suppressLineNumbers w:val="0"/>
              <w:jc w:val="center"/>
              <w:rPr>
                <w:rFonts w:hint="eastAsia" w:ascii="Calibri" w:hAnsi="Calibri" w:eastAsia="宋体" w:cs="Times New Roman"/>
                <w:kern w:val="2"/>
                <w:sz w:val="18"/>
                <w:szCs w:val="18"/>
                <w:highlight w:val="none"/>
                <w:vertAlign w:val="baseline"/>
                <w:lang w:val="en-US" w:eastAsia="zh-CN" w:bidi="ar-SA"/>
              </w:rPr>
            </w:pPr>
            <w:r>
              <w:rPr>
                <w:rFonts w:ascii="仿宋" w:hAnsi="仿宋" w:eastAsia="仿宋" w:cs="仿宋"/>
                <w:color w:val="000000"/>
                <w:kern w:val="0"/>
                <w:sz w:val="21"/>
                <w:szCs w:val="21"/>
                <w:lang w:val="en-US" w:eastAsia="zh-CN" w:bidi="ar"/>
              </w:rPr>
              <w:t>壬基酚</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≤30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未提及</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不得检出</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782"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1372" w:type="dxa"/>
            <w:gridSpan w:val="2"/>
            <w:noWrap w:val="0"/>
            <w:vAlign w:val="center"/>
          </w:tcPr>
          <w:p>
            <w:pPr>
              <w:keepNext w:val="0"/>
              <w:keepLines w:val="0"/>
              <w:widowControl/>
              <w:suppressLineNumbers w:val="0"/>
              <w:jc w:val="center"/>
              <w:rPr>
                <w:rFonts w:hint="eastAsia" w:ascii="Calibri" w:hAnsi="Calibri" w:eastAsia="宋体" w:cs="Times New Roman"/>
                <w:kern w:val="2"/>
                <w:sz w:val="18"/>
                <w:szCs w:val="18"/>
                <w:highlight w:val="none"/>
                <w:vertAlign w:val="baseline"/>
                <w:lang w:val="en-US" w:eastAsia="zh-CN" w:bidi="ar-SA"/>
              </w:rPr>
            </w:pPr>
            <w:r>
              <w:rPr>
                <w:rFonts w:ascii="仿宋" w:hAnsi="仿宋" w:eastAsia="仿宋" w:cs="仿宋"/>
                <w:color w:val="000000"/>
                <w:kern w:val="0"/>
                <w:sz w:val="21"/>
                <w:szCs w:val="21"/>
                <w:lang w:val="en-US" w:eastAsia="zh-CN" w:bidi="ar"/>
              </w:rPr>
              <w:t>辛基酚</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≤30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未提及</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不得检出</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782"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1372" w:type="dxa"/>
            <w:gridSpan w:val="2"/>
            <w:noWrap w:val="0"/>
            <w:vAlign w:val="center"/>
          </w:tcPr>
          <w:p>
            <w:pPr>
              <w:keepNext w:val="0"/>
              <w:keepLines w:val="0"/>
              <w:widowControl/>
              <w:suppressLineNumbers w:val="0"/>
              <w:jc w:val="center"/>
              <w:rPr>
                <w:rFonts w:hint="eastAsia" w:ascii="Calibri" w:hAnsi="Calibri" w:eastAsia="宋体" w:cs="Times New Roman"/>
                <w:kern w:val="2"/>
                <w:sz w:val="18"/>
                <w:szCs w:val="18"/>
                <w:highlight w:val="none"/>
                <w:vertAlign w:val="baseline"/>
                <w:lang w:val="en-US" w:eastAsia="zh-CN" w:bidi="ar-SA"/>
              </w:rPr>
            </w:pPr>
            <w:r>
              <w:rPr>
                <w:rFonts w:ascii="仿宋" w:hAnsi="仿宋" w:eastAsia="仿宋" w:cs="仿宋"/>
                <w:color w:val="000000"/>
                <w:kern w:val="0"/>
                <w:sz w:val="21"/>
                <w:szCs w:val="21"/>
                <w:lang w:val="en-US" w:eastAsia="zh-CN" w:bidi="ar"/>
              </w:rPr>
              <w:t>壬基酚聚氧乙烯醚</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≤500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未提及</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不得检出</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0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Calibri" w:hAnsi="Calibri" w:eastAsia="宋体" w:cs="Times New Roman"/>
                <w:kern w:val="2"/>
                <w:sz w:val="18"/>
                <w:szCs w:val="18"/>
                <w:highlight w:val="none"/>
                <w:vertAlign w:val="baseline"/>
                <w:lang w:val="en-US" w:eastAsia="zh-CN" w:bidi="ar-SA"/>
              </w:rPr>
            </w:pPr>
          </w:p>
        </w:tc>
        <w:tc>
          <w:tcPr>
            <w:tcW w:w="782"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p>
        </w:tc>
        <w:tc>
          <w:tcPr>
            <w:tcW w:w="1372" w:type="dxa"/>
            <w:gridSpan w:val="2"/>
            <w:noWrap w:val="0"/>
            <w:vAlign w:val="center"/>
          </w:tcPr>
          <w:p>
            <w:pPr>
              <w:keepNext w:val="0"/>
              <w:keepLines w:val="0"/>
              <w:widowControl/>
              <w:suppressLineNumbers w:val="0"/>
              <w:jc w:val="center"/>
              <w:rPr>
                <w:rFonts w:hint="default" w:ascii="Calibri" w:hAnsi="Calibri" w:eastAsia="宋体" w:cs="Times New Roman"/>
                <w:kern w:val="2"/>
                <w:sz w:val="18"/>
                <w:szCs w:val="18"/>
                <w:highlight w:val="none"/>
                <w:vertAlign w:val="baseline"/>
                <w:lang w:val="en-US" w:eastAsia="zh-CN" w:bidi="ar-SA"/>
              </w:rPr>
            </w:pPr>
            <w:r>
              <w:rPr>
                <w:rFonts w:ascii="仿宋" w:hAnsi="仿宋" w:eastAsia="仿宋" w:cs="仿宋"/>
                <w:color w:val="000000"/>
                <w:kern w:val="0"/>
                <w:sz w:val="21"/>
                <w:szCs w:val="21"/>
                <w:lang w:val="en-US" w:eastAsia="zh-CN" w:bidi="ar"/>
              </w:rPr>
              <w:t>辛基聚氧乙烯醚</w:t>
            </w:r>
          </w:p>
        </w:tc>
        <w:tc>
          <w:tcPr>
            <w:tcW w:w="181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≤500</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未提及</w:t>
            </w:r>
          </w:p>
        </w:tc>
        <w:tc>
          <w:tcPr>
            <w:tcW w:w="158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eastAsia="宋体" w:cs="Times New Roman"/>
                <w:kern w:val="2"/>
                <w:sz w:val="18"/>
                <w:szCs w:val="18"/>
                <w:highlight w:val="none"/>
                <w:vertAlign w:val="baseline"/>
                <w:lang w:val="en-US" w:eastAsia="zh-CN" w:bidi="ar-SA"/>
              </w:rPr>
              <w:t>不得检出</w:t>
            </w:r>
          </w:p>
        </w:tc>
        <w:tc>
          <w:tcPr>
            <w:tcW w:w="6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Calibri" w:hAnsi="Calibri" w:eastAsia="宋体" w:cs="Times New Roman"/>
                <w:kern w:val="2"/>
                <w:sz w:val="18"/>
                <w:szCs w:val="18"/>
                <w:highlight w:val="none"/>
                <w:vertAlign w:val="baseline"/>
                <w:lang w:val="en-US" w:eastAsia="zh-CN" w:bidi="ar-SA"/>
              </w:rPr>
            </w:pPr>
            <w:r>
              <w:rPr>
                <w:rFonts w:hint="eastAsia" w:ascii="Calibri" w:hAnsi="Calibri" w:eastAsia="宋体" w:cs="Times New Roman"/>
                <w:kern w:val="2"/>
                <w:sz w:val="18"/>
                <w:szCs w:val="18"/>
                <w:highlight w:val="none"/>
                <w:vertAlign w:val="baseline"/>
                <w:lang w:val="en-US" w:eastAsia="zh-CN" w:bidi="ar-SA"/>
              </w:rPr>
              <w:t>提升</w:t>
            </w:r>
          </w:p>
        </w:tc>
      </w:tr>
    </w:tbl>
    <w:p>
      <w:pPr>
        <w:spacing w:line="500" w:lineRule="exact"/>
        <w:rPr>
          <w:rFonts w:hint="default" w:ascii="黑体" w:hAnsi="黑体" w:eastAsia="黑体" w:cs="黑体"/>
          <w:sz w:val="24"/>
          <w:lang w:val="en-US" w:eastAsia="zh-CN"/>
        </w:rPr>
      </w:pPr>
      <w:r>
        <w:rPr>
          <w:rFonts w:hint="eastAsia" w:ascii="黑体" w:hAnsi="黑体" w:eastAsia="黑体" w:cs="黑体"/>
          <w:sz w:val="24"/>
          <w:lang w:val="en-US" w:eastAsia="zh-CN"/>
        </w:rPr>
        <w:t>先进性说明：</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left"/>
        <w:textAlignment w:val="auto"/>
        <w:rPr>
          <w:rFonts w:hint="eastAsia" w:ascii="仿宋_GB2312" w:hAnsi="宋体" w:eastAsia="仿宋_GB2312" w:cs="Times New Roman"/>
          <w:kern w:val="2"/>
          <w:sz w:val="24"/>
          <w:szCs w:val="24"/>
          <w:lang w:val="en-US" w:eastAsia="zh-CN" w:bidi="ar-SA"/>
        </w:rPr>
      </w:pPr>
      <w:r>
        <w:rPr>
          <w:rFonts w:hint="eastAsia" w:ascii="黑体" w:hAnsi="黑体" w:eastAsia="黑体" w:cs="黑体"/>
          <w:sz w:val="24"/>
          <w:lang w:val="en-US" w:eastAsia="zh-CN"/>
        </w:rPr>
        <w:t xml:space="preserve">  </w:t>
      </w:r>
      <w:r>
        <w:rPr>
          <w:rFonts w:hint="eastAsia" w:ascii="仿宋_GB2312" w:hAnsi="宋体" w:eastAsia="仿宋_GB2312" w:cs="Times New Roman"/>
          <w:kern w:val="2"/>
          <w:sz w:val="24"/>
          <w:szCs w:val="24"/>
          <w:lang w:val="en-US" w:eastAsia="zh-CN" w:bidi="ar-SA"/>
        </w:rPr>
        <w:t xml:space="preserve"> 本标准相比QB/T 4343-2012《合成革用水性色浆》和竞品企业标准，在粒径、pH偏差、色差、着色强度方面都有提升，这样设置的主要目的是，提升终端客户中性墨水的书写能力，能够代替国外进口色浆，满足高性能墨水生产要求。同时，按照本公司的设计研发制造能力，完全能够达到标准要求。</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除此之外，本标准对环保性指标大幅提升要求，主要考虑到书写环境，用户近距离长时间接触墨水，其挥发性有机物、可迁移、可溶解化学元素必须处于安全范围，因此在指标设置时大幅提高要求，确保产品的安全性。按照本公司的设计研发制造能力，完全能够达到标准要求。</w:t>
      </w:r>
    </w:p>
    <w:p>
      <w:pPr>
        <w:spacing w:line="500" w:lineRule="exact"/>
        <w:rPr>
          <w:rFonts w:ascii="黑体" w:hAnsi="黑体" w:eastAsia="黑体" w:cs="黑体"/>
          <w:sz w:val="24"/>
        </w:rPr>
      </w:pPr>
      <w:r>
        <w:rPr>
          <w:rFonts w:hint="eastAsia" w:ascii="黑体" w:hAnsi="黑体" w:eastAsia="黑体" w:cs="黑体"/>
          <w:sz w:val="24"/>
        </w:rPr>
        <w:t>5.2  基本要求(型式试验规定技术指标外的产品设计、原材料、关键技术、工艺、设备等方面)、质量承诺等体现“浙江制造”标准“四精”特征的相关先进性的对比情况。</w:t>
      </w:r>
    </w:p>
    <w:p>
      <w:pPr>
        <w:pStyle w:val="11"/>
        <w:numPr>
          <w:ilvl w:val="1"/>
          <w:numId w:val="0"/>
        </w:numPr>
        <w:tabs>
          <w:tab w:val="left" w:pos="284"/>
          <w:tab w:val="left" w:pos="567"/>
          <w:tab w:val="clear" w:pos="0"/>
        </w:tabs>
        <w:spacing w:before="156" w:after="156"/>
        <w:rPr>
          <w:rFonts w:hAnsi="黑体"/>
          <w:sz w:val="24"/>
          <w:szCs w:val="24"/>
        </w:rPr>
      </w:pPr>
      <w:r>
        <w:rPr>
          <w:rFonts w:hint="eastAsia" w:ascii="仿宋_GB2312" w:hAnsi="宋体" w:eastAsia="仿宋_GB2312"/>
          <w:b/>
          <w:kern w:val="2"/>
          <w:sz w:val="24"/>
          <w:szCs w:val="24"/>
        </w:rPr>
        <w:t xml:space="preserve">5.2.1 </w:t>
      </w:r>
      <w:r>
        <w:rPr>
          <w:rFonts w:hint="eastAsia" w:hAnsi="黑体"/>
          <w:sz w:val="24"/>
          <w:szCs w:val="24"/>
        </w:rPr>
        <w:t>设计研发</w:t>
      </w:r>
    </w:p>
    <w:p>
      <w:pPr>
        <w:pStyle w:val="12"/>
        <w:spacing w:line="360" w:lineRule="auto"/>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应具备采用正交试验方法，对水性色浆进行配比能力；能根据客户需求（技术要求、安全性能）等进行设计、试验及验证能力。</w:t>
      </w:r>
    </w:p>
    <w:p>
      <w:pPr>
        <w:pStyle w:val="11"/>
        <w:numPr>
          <w:ilvl w:val="1"/>
          <w:numId w:val="0"/>
        </w:numPr>
        <w:tabs>
          <w:tab w:val="left" w:pos="284"/>
          <w:tab w:val="left" w:pos="567"/>
          <w:tab w:val="clear" w:pos="0"/>
        </w:tabs>
        <w:spacing w:before="156" w:after="156" w:line="360" w:lineRule="auto"/>
        <w:rPr>
          <w:rFonts w:ascii="仿宋_GB2312" w:hAnsi="宋体" w:eastAsia="仿宋_GB2312"/>
          <w:b/>
          <w:kern w:val="2"/>
          <w:sz w:val="24"/>
          <w:szCs w:val="24"/>
        </w:rPr>
      </w:pPr>
      <w:r>
        <w:rPr>
          <w:rFonts w:hint="eastAsia" w:hAnsi="黑体" w:eastAsia="仿宋_GB2312"/>
          <w:sz w:val="24"/>
          <w:szCs w:val="24"/>
        </w:rPr>
        <w:t xml:space="preserve">5.2.2 </w:t>
      </w:r>
      <w:r>
        <w:rPr>
          <w:rFonts w:hint="eastAsia" w:ascii="仿宋_GB2312" w:hAnsi="宋体" w:eastAsia="仿宋_GB2312"/>
          <w:b/>
          <w:kern w:val="2"/>
          <w:sz w:val="24"/>
          <w:szCs w:val="24"/>
        </w:rPr>
        <w:t>原材料</w:t>
      </w:r>
    </w:p>
    <w:p>
      <w:pPr>
        <w:pStyle w:val="25"/>
        <w:numPr>
          <w:ilvl w:val="0"/>
          <w:numId w:val="0"/>
        </w:numPr>
        <w:spacing w:line="360" w:lineRule="auto"/>
        <w:ind w:leftChars="0"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主要原材料水、有机、无机颜料、填料中重金属含量应符合相关标准。</w:t>
      </w:r>
    </w:p>
    <w:p>
      <w:pPr>
        <w:pStyle w:val="11"/>
        <w:numPr>
          <w:ilvl w:val="1"/>
          <w:numId w:val="0"/>
        </w:numPr>
        <w:tabs>
          <w:tab w:val="left" w:pos="284"/>
          <w:tab w:val="left" w:pos="567"/>
          <w:tab w:val="clear" w:pos="0"/>
        </w:tabs>
        <w:spacing w:before="156" w:after="156" w:line="360" w:lineRule="auto"/>
        <w:rPr>
          <w:rFonts w:ascii="仿宋_GB2312" w:hAnsi="宋体" w:eastAsia="仿宋_GB2312"/>
          <w:b/>
          <w:kern w:val="2"/>
          <w:sz w:val="24"/>
          <w:szCs w:val="24"/>
        </w:rPr>
      </w:pPr>
      <w:r>
        <w:rPr>
          <w:rFonts w:hint="eastAsia" w:hAnsi="黑体" w:eastAsia="仿宋_GB2312"/>
          <w:sz w:val="24"/>
          <w:szCs w:val="24"/>
        </w:rPr>
        <w:t xml:space="preserve">5.2.3 </w:t>
      </w:r>
      <w:r>
        <w:rPr>
          <w:rFonts w:hint="eastAsia" w:ascii="仿宋_GB2312" w:hAnsi="宋体" w:eastAsia="仿宋_GB2312"/>
          <w:b/>
          <w:kern w:val="2"/>
          <w:sz w:val="24"/>
          <w:szCs w:val="24"/>
        </w:rPr>
        <w:t>工艺及装备</w:t>
      </w:r>
    </w:p>
    <w:p>
      <w:pPr>
        <w:pStyle w:val="25"/>
        <w:numPr>
          <w:numId w:val="0"/>
        </w:numPr>
        <w:spacing w:line="36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w:t>
      </w:r>
      <w:r>
        <w:rPr>
          <w:rFonts w:hint="eastAsia" w:ascii="仿宋_GB2312" w:hAnsi="宋体" w:eastAsia="仿宋_GB2312" w:cs="Times New Roman"/>
          <w:kern w:val="2"/>
          <w:sz w:val="24"/>
          <w:szCs w:val="24"/>
          <w:lang w:val="en-US" w:eastAsia="zh-CN" w:bidi="ar-SA"/>
        </w:rPr>
        <w:t>具备高速分散机、纳米砂磨机等自动化设备</w:t>
      </w:r>
    </w:p>
    <w:p>
      <w:pPr>
        <w:pStyle w:val="25"/>
        <w:numPr>
          <w:numId w:val="0"/>
        </w:numPr>
        <w:spacing w:line="36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2）</w:t>
      </w:r>
      <w:r>
        <w:rPr>
          <w:rFonts w:hint="eastAsia" w:ascii="仿宋_GB2312" w:hAnsi="宋体" w:eastAsia="仿宋_GB2312" w:cs="Times New Roman"/>
          <w:kern w:val="2"/>
          <w:sz w:val="24"/>
          <w:szCs w:val="24"/>
          <w:lang w:val="en-US" w:eastAsia="zh-CN" w:bidi="ar-SA"/>
        </w:rPr>
        <w:t>具备封闭式的设备装置和集散控制系统。</w:t>
      </w:r>
    </w:p>
    <w:p>
      <w:pPr>
        <w:tabs>
          <w:tab w:val="left" w:pos="2160"/>
        </w:tabs>
        <w:spacing w:line="36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3）具备生产过程数字化记录系统，实现产品溯源</w:t>
      </w:r>
    </w:p>
    <w:p>
      <w:pPr>
        <w:pStyle w:val="11"/>
        <w:numPr>
          <w:ilvl w:val="1"/>
          <w:numId w:val="0"/>
        </w:numPr>
        <w:tabs>
          <w:tab w:val="left" w:pos="284"/>
          <w:tab w:val="left" w:pos="567"/>
          <w:tab w:val="clear" w:pos="0"/>
        </w:tabs>
        <w:spacing w:before="156" w:after="156" w:line="360" w:lineRule="auto"/>
        <w:rPr>
          <w:rFonts w:ascii="仿宋_GB2312" w:hAnsi="宋体" w:eastAsia="仿宋_GB2312"/>
          <w:b/>
          <w:kern w:val="2"/>
          <w:sz w:val="24"/>
          <w:szCs w:val="24"/>
        </w:rPr>
      </w:pPr>
      <w:r>
        <w:rPr>
          <w:rFonts w:hint="eastAsia" w:hAnsi="黑体" w:eastAsia="仿宋_GB2312"/>
          <w:sz w:val="24"/>
          <w:szCs w:val="24"/>
        </w:rPr>
        <w:t xml:space="preserve">5.2.4 </w:t>
      </w:r>
      <w:r>
        <w:rPr>
          <w:rFonts w:hint="eastAsia" w:ascii="仿宋_GB2312" w:hAnsi="宋体" w:eastAsia="仿宋_GB2312"/>
          <w:b/>
          <w:kern w:val="2"/>
          <w:sz w:val="24"/>
          <w:szCs w:val="24"/>
        </w:rPr>
        <w:t>检验检测</w:t>
      </w:r>
    </w:p>
    <w:p>
      <w:pPr>
        <w:tabs>
          <w:tab w:val="left" w:pos="2160"/>
        </w:tabs>
        <w:spacing w:line="360" w:lineRule="auto"/>
        <w:ind w:firstLine="480" w:firstLineChars="200"/>
        <w:rPr>
          <w:rFonts w:hint="eastAsia" w:ascii="仿宋_GB2312" w:hAnsi="宋体" w:eastAsia="仿宋_GB2312" w:cs="Times New Roman"/>
          <w:color w:val="0000FF"/>
          <w:kern w:val="2"/>
          <w:sz w:val="24"/>
          <w:szCs w:val="24"/>
          <w:lang w:val="en-US" w:eastAsia="zh-CN" w:bidi="ar-SA"/>
        </w:rPr>
      </w:pPr>
      <w:r>
        <w:rPr>
          <w:rFonts w:hint="eastAsia" w:ascii="仿宋_GB2312" w:hAnsi="宋体" w:eastAsia="仿宋_GB2312" w:cs="Times New Roman"/>
          <w:kern w:val="2"/>
          <w:sz w:val="24"/>
          <w:szCs w:val="24"/>
          <w:lang w:val="en-US" w:eastAsia="zh-CN" w:bidi="ar-SA"/>
        </w:rPr>
        <w:t>应具备粘度、固含量、着色力、粒径等测试能力</w:t>
      </w:r>
      <w:r>
        <w:rPr>
          <w:rFonts w:hint="eastAsia" w:ascii="仿宋_GB2312" w:hAnsi="宋体" w:eastAsia="仿宋_GB2312" w:cs="Times New Roman"/>
          <w:color w:val="0000FF"/>
          <w:kern w:val="2"/>
          <w:sz w:val="24"/>
          <w:szCs w:val="24"/>
          <w:lang w:val="en-US" w:eastAsia="zh-CN" w:bidi="ar-SA"/>
        </w:rPr>
        <w:t>。</w:t>
      </w:r>
    </w:p>
    <w:p>
      <w:pPr>
        <w:pStyle w:val="11"/>
        <w:tabs>
          <w:tab w:val="left" w:pos="284"/>
          <w:tab w:val="left" w:pos="567"/>
          <w:tab w:val="clear" w:pos="0"/>
        </w:tabs>
        <w:spacing w:beforeLines="0" w:afterLines="0" w:line="360" w:lineRule="auto"/>
        <w:rPr>
          <w:rFonts w:hAnsi="黑体" w:cs="黑体"/>
          <w:kern w:val="2"/>
          <w:sz w:val="24"/>
          <w:szCs w:val="24"/>
        </w:rPr>
      </w:pPr>
      <w:r>
        <w:rPr>
          <w:rFonts w:hint="eastAsia" w:hAnsi="黑体" w:cs="黑体"/>
          <w:sz w:val="24"/>
        </w:rPr>
        <w:t xml:space="preserve">5.2.5 </w:t>
      </w:r>
      <w:r>
        <w:rPr>
          <w:rFonts w:hint="eastAsia" w:hAnsi="黑体" w:cs="黑体"/>
          <w:kern w:val="2"/>
          <w:sz w:val="24"/>
          <w:szCs w:val="24"/>
        </w:rPr>
        <w:t>精诚服务</w:t>
      </w:r>
    </w:p>
    <w:p>
      <w:pPr>
        <w:pStyle w:val="11"/>
        <w:numPr>
          <w:ilvl w:val="1"/>
          <w:numId w:val="0"/>
        </w:numPr>
        <w:tabs>
          <w:tab w:val="left" w:pos="284"/>
          <w:tab w:val="left" w:pos="567"/>
          <w:tab w:val="clear" w:pos="0"/>
        </w:tabs>
        <w:spacing w:beforeLines="0" w:afterLines="0" w:line="360" w:lineRule="auto"/>
        <w:ind w:firstLine="480" w:firstLineChars="200"/>
        <w:rPr>
          <w:rFonts w:hint="eastAsia" w:ascii="仿宋_GB2312" w:hAnsi="宋体" w:eastAsia="仿宋_GB2312" w:cs="Times New Roman"/>
          <w:kern w:val="2"/>
          <w:sz w:val="24"/>
          <w:szCs w:val="24"/>
          <w:lang w:val="de-DE"/>
        </w:rPr>
      </w:pPr>
      <w:r>
        <w:rPr>
          <w:rFonts w:hint="eastAsia" w:ascii="仿宋_GB2312" w:hAnsi="宋体" w:eastAsia="仿宋_GB2312" w:cs="Times New Roman"/>
          <w:kern w:val="2"/>
          <w:sz w:val="24"/>
          <w:szCs w:val="24"/>
        </w:rPr>
        <w:t>1）</w:t>
      </w:r>
      <w:r>
        <w:rPr>
          <w:rFonts w:hint="eastAsia" w:ascii="仿宋_GB2312" w:hAnsi="宋体" w:eastAsia="仿宋_GB2312" w:cs="Times New Roman"/>
          <w:kern w:val="2"/>
          <w:sz w:val="24"/>
          <w:szCs w:val="24"/>
          <w:lang w:val="de-DE"/>
        </w:rPr>
        <w:t>每批产品样品留样12个月，保证产品的可追溯性。</w:t>
      </w:r>
    </w:p>
    <w:p>
      <w:pPr>
        <w:pStyle w:val="11"/>
        <w:numPr>
          <w:ilvl w:val="1"/>
          <w:numId w:val="0"/>
        </w:numPr>
        <w:tabs>
          <w:tab w:val="left" w:pos="284"/>
          <w:tab w:val="left" w:pos="567"/>
          <w:tab w:val="clear" w:pos="0"/>
        </w:tabs>
        <w:spacing w:beforeLines="0" w:afterLines="0" w:line="360" w:lineRule="auto"/>
        <w:ind w:firstLine="480" w:firstLineChars="200"/>
        <w:rPr>
          <w:rFonts w:hint="eastAsia" w:ascii="仿宋_GB2312" w:hAnsi="宋体" w:eastAsia="仿宋_GB2312" w:cs="Times New Roman"/>
          <w:kern w:val="2"/>
          <w:sz w:val="24"/>
          <w:szCs w:val="24"/>
          <w:lang w:val="de-DE"/>
        </w:rPr>
      </w:pPr>
      <w:r>
        <w:rPr>
          <w:rFonts w:hint="eastAsia" w:ascii="仿宋_GB2312" w:hAnsi="宋体" w:eastAsia="仿宋_GB2312" w:cs="Times New Roman"/>
          <w:kern w:val="2"/>
          <w:sz w:val="24"/>
          <w:szCs w:val="24"/>
          <w:lang w:val="en-US" w:eastAsia="zh-CN"/>
        </w:rPr>
        <w:t>2）</w:t>
      </w:r>
      <w:r>
        <w:rPr>
          <w:rFonts w:hint="eastAsia" w:ascii="仿宋_GB2312" w:hAnsi="宋体" w:eastAsia="仿宋_GB2312" w:cs="Times New Roman"/>
          <w:kern w:val="2"/>
          <w:sz w:val="24"/>
          <w:szCs w:val="24"/>
          <w:lang w:val="de-DE"/>
        </w:rPr>
        <w:t>建立电话、网络等服务平台，对于产品质量需求，应在 24小时内作出响应。</w:t>
      </w:r>
    </w:p>
    <w:p>
      <w:pPr>
        <w:pStyle w:val="11"/>
        <w:numPr>
          <w:ilvl w:val="1"/>
          <w:numId w:val="0"/>
        </w:numPr>
        <w:tabs>
          <w:tab w:val="left" w:pos="284"/>
          <w:tab w:val="left" w:pos="567"/>
          <w:tab w:val="clear" w:pos="0"/>
        </w:tabs>
        <w:spacing w:beforeLines="0" w:afterLines="0" w:line="360" w:lineRule="auto"/>
        <w:ind w:firstLine="480" w:firstLineChars="200"/>
        <w:rPr>
          <w:rFonts w:hint="eastAsia" w:ascii="仿宋_GB2312" w:hAnsi="宋体" w:eastAsia="仿宋_GB2312" w:cs="Times New Roman"/>
          <w:kern w:val="2"/>
          <w:sz w:val="24"/>
          <w:szCs w:val="24"/>
          <w:lang w:val="de-DE"/>
        </w:rPr>
      </w:pPr>
      <w:r>
        <w:rPr>
          <w:rFonts w:hint="eastAsia" w:ascii="仿宋_GB2312" w:hAnsi="宋体" w:eastAsia="仿宋_GB2312" w:cs="Times New Roman"/>
          <w:kern w:val="2"/>
          <w:sz w:val="24"/>
          <w:szCs w:val="24"/>
          <w:lang w:val="en-US" w:eastAsia="zh-CN"/>
        </w:rPr>
        <w:t>3）</w:t>
      </w:r>
      <w:r>
        <w:rPr>
          <w:rFonts w:hint="eastAsia" w:ascii="仿宋_GB2312" w:hAnsi="宋体" w:eastAsia="仿宋_GB2312" w:cs="Times New Roman"/>
          <w:kern w:val="2"/>
          <w:sz w:val="24"/>
          <w:szCs w:val="24"/>
          <w:lang w:val="de-DE"/>
        </w:rPr>
        <w:t>免费为用户提供提供技术培训。</w:t>
      </w:r>
    </w:p>
    <w:p>
      <w:pPr>
        <w:spacing w:line="500" w:lineRule="exact"/>
        <w:rPr>
          <w:rFonts w:ascii="黑体" w:hAnsi="黑体" w:eastAsia="黑体" w:cs="黑体"/>
          <w:sz w:val="24"/>
        </w:rPr>
      </w:pPr>
      <w:bookmarkStart w:id="6" w:name="_GoBack"/>
      <w:bookmarkEnd w:id="6"/>
      <w:r>
        <w:rPr>
          <w:rFonts w:hint="eastAsia" w:ascii="黑体" w:hAnsi="黑体" w:eastAsia="黑体" w:cs="黑体"/>
          <w:sz w:val="24"/>
        </w:rPr>
        <w:t>5.3  标准中能体现“智能制造”、“绿色制造”先进性的内容说明。（若无相关先进性也应说明）。</w:t>
      </w:r>
    </w:p>
    <w:p>
      <w:pPr>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绿色制造体现在：</w:t>
      </w:r>
    </w:p>
    <w:p>
      <w:pPr>
        <w:spacing w:line="360" w:lineRule="auto"/>
        <w:ind w:firstLine="480" w:firstLineChars="200"/>
        <w:rPr>
          <w:rFonts w:hint="eastAsia" w:ascii="仿宋_GB2312" w:hAnsi="宋体" w:eastAsia="仿宋_GB2312" w:cs="Times New Roman"/>
          <w:sz w:val="24"/>
          <w:lang w:eastAsia="zh-CN"/>
        </w:rPr>
      </w:pPr>
      <w:r>
        <w:rPr>
          <w:rFonts w:hint="eastAsia" w:ascii="仿宋_GB2312" w:hAnsi="宋体" w:eastAsia="仿宋_GB2312" w:cs="Times New Roman"/>
          <w:sz w:val="24"/>
          <w:lang w:val="en-US" w:eastAsia="zh-CN"/>
        </w:rPr>
        <w:t>1）</w:t>
      </w:r>
      <w:r>
        <w:rPr>
          <w:rFonts w:hint="eastAsia" w:ascii="仿宋_GB2312" w:hAnsi="宋体" w:eastAsia="仿宋_GB2312" w:cs="Times New Roman"/>
          <w:sz w:val="24"/>
        </w:rPr>
        <w:t>采用密闭循环体系</w:t>
      </w:r>
      <w:r>
        <w:rPr>
          <w:rFonts w:hint="eastAsia" w:ascii="仿宋_GB2312" w:hAnsi="宋体" w:eastAsia="仿宋_GB2312" w:cs="Times New Roman"/>
          <w:sz w:val="24"/>
          <w:lang w:val="en-US" w:eastAsia="zh-CN"/>
        </w:rPr>
        <w:t>进行产品</w:t>
      </w:r>
      <w:r>
        <w:rPr>
          <w:rFonts w:hint="eastAsia" w:ascii="仿宋_GB2312" w:hAnsi="宋体" w:eastAsia="仿宋_GB2312" w:cs="Times New Roman"/>
          <w:sz w:val="24"/>
        </w:rPr>
        <w:t>研磨</w:t>
      </w:r>
      <w:r>
        <w:rPr>
          <w:rFonts w:hint="eastAsia" w:ascii="仿宋_GB2312" w:hAnsi="宋体" w:eastAsia="仿宋_GB2312" w:cs="Times New Roman"/>
          <w:sz w:val="24"/>
          <w:lang w:eastAsia="zh-CN"/>
        </w:rPr>
        <w:t>；</w:t>
      </w:r>
    </w:p>
    <w:p>
      <w:pPr>
        <w:spacing w:line="360" w:lineRule="auto"/>
        <w:ind w:firstLine="480" w:firstLineChars="200"/>
        <w:rPr>
          <w:rFonts w:hint="eastAsia" w:ascii="仿宋_GB2312" w:hAnsi="宋体" w:eastAsia="仿宋_GB2312" w:cs="Times New Roman"/>
          <w:sz w:val="24"/>
          <w:lang w:eastAsia="zh-CN"/>
        </w:rPr>
      </w:pPr>
      <w:r>
        <w:rPr>
          <w:rFonts w:hint="eastAsia" w:ascii="仿宋_GB2312" w:hAnsi="宋体" w:eastAsia="仿宋_GB2312" w:cs="Times New Roman"/>
          <w:sz w:val="24"/>
          <w:lang w:val="en-US" w:eastAsia="zh-CN"/>
        </w:rPr>
        <w:t>2）</w:t>
      </w:r>
      <w:r>
        <w:rPr>
          <w:rFonts w:hint="eastAsia" w:ascii="仿宋_GB2312" w:hAnsi="宋体" w:eastAsia="仿宋_GB2312" w:cs="Times New Roman"/>
          <w:sz w:val="24"/>
        </w:rPr>
        <w:t>生产过程中粉尘有序收集有效控制粉尘</w:t>
      </w:r>
      <w:r>
        <w:rPr>
          <w:rFonts w:hint="eastAsia" w:ascii="仿宋_GB2312" w:hAnsi="宋体" w:eastAsia="仿宋_GB2312" w:cs="Times New Roman"/>
          <w:sz w:val="24"/>
          <w:lang w:eastAsia="zh-CN"/>
        </w:rPr>
        <w:t>；</w:t>
      </w:r>
    </w:p>
    <w:p>
      <w:pPr>
        <w:spacing w:line="360" w:lineRule="auto"/>
        <w:ind w:firstLine="480" w:firstLineChars="200"/>
        <w:rPr>
          <w:rFonts w:hint="eastAsia" w:ascii="仿宋_GB2312" w:hAnsi="宋体" w:eastAsia="仿宋_GB2312" w:cs="Times New Roman"/>
          <w:sz w:val="24"/>
          <w:lang w:eastAsia="zh-CN"/>
        </w:rPr>
      </w:pPr>
      <w:r>
        <w:rPr>
          <w:rFonts w:hint="eastAsia" w:ascii="仿宋_GB2312" w:hAnsi="宋体" w:eastAsia="仿宋_GB2312" w:cs="Times New Roman"/>
          <w:sz w:val="24"/>
          <w:lang w:val="en-US" w:eastAsia="zh-CN"/>
        </w:rPr>
        <w:t>3）采用水闭环处理系统，</w:t>
      </w:r>
      <w:r>
        <w:rPr>
          <w:rFonts w:hint="eastAsia" w:ascii="仿宋_GB2312" w:hAnsi="宋体" w:eastAsia="仿宋_GB2312" w:cs="Times New Roman"/>
          <w:sz w:val="24"/>
        </w:rPr>
        <w:t>污水</w:t>
      </w:r>
      <w:r>
        <w:rPr>
          <w:rFonts w:hint="eastAsia" w:ascii="仿宋_GB2312" w:hAnsi="宋体" w:eastAsia="仿宋_GB2312" w:cs="Times New Roman"/>
          <w:sz w:val="24"/>
          <w:lang w:val="en-US" w:eastAsia="zh-CN"/>
        </w:rPr>
        <w:t>零</w:t>
      </w:r>
      <w:r>
        <w:rPr>
          <w:rFonts w:hint="eastAsia" w:ascii="仿宋_GB2312" w:hAnsi="宋体" w:eastAsia="仿宋_GB2312" w:cs="Times New Roman"/>
          <w:sz w:val="24"/>
        </w:rPr>
        <w:t>排放</w:t>
      </w:r>
      <w:r>
        <w:rPr>
          <w:rFonts w:hint="eastAsia" w:ascii="仿宋_GB2312" w:hAnsi="宋体" w:eastAsia="仿宋_GB2312" w:cs="Times New Roman"/>
          <w:sz w:val="24"/>
          <w:lang w:eastAsia="zh-CN"/>
        </w:rPr>
        <w:t>。</w:t>
      </w:r>
    </w:p>
    <w:p>
      <w:pPr>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智能制造体现在：</w:t>
      </w:r>
    </w:p>
    <w:p>
      <w:pPr>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1）采用</w:t>
      </w:r>
      <w:r>
        <w:rPr>
          <w:rFonts w:hint="eastAsia" w:ascii="仿宋_GB2312" w:hAnsi="宋体" w:eastAsia="仿宋_GB2312" w:cs="Times New Roman"/>
          <w:sz w:val="24"/>
        </w:rPr>
        <w:t>ERP</w:t>
      </w:r>
      <w:r>
        <w:rPr>
          <w:rFonts w:hint="eastAsia" w:ascii="仿宋_GB2312" w:hAnsi="宋体" w:eastAsia="仿宋_GB2312" w:cs="Times New Roman"/>
          <w:sz w:val="24"/>
          <w:lang w:val="en-US" w:eastAsia="zh-CN"/>
        </w:rPr>
        <w:t>打通</w:t>
      </w:r>
      <w:r>
        <w:rPr>
          <w:rFonts w:hint="eastAsia" w:ascii="仿宋_GB2312" w:hAnsi="宋体" w:eastAsia="仿宋_GB2312" w:cs="Times New Roman"/>
          <w:sz w:val="24"/>
        </w:rPr>
        <w:t>自动控制系统</w:t>
      </w:r>
      <w:r>
        <w:rPr>
          <w:rFonts w:hint="eastAsia" w:ascii="仿宋_GB2312" w:hAnsi="宋体" w:eastAsia="仿宋_GB2312" w:cs="Times New Roman"/>
          <w:sz w:val="24"/>
          <w:lang w:eastAsia="zh-CN"/>
        </w:rPr>
        <w:t>，</w:t>
      </w:r>
      <w:r>
        <w:rPr>
          <w:rFonts w:hint="eastAsia" w:ascii="仿宋_GB2312" w:hAnsi="宋体" w:eastAsia="仿宋_GB2312" w:cs="Times New Roman"/>
          <w:sz w:val="24"/>
          <w:lang w:val="en-US" w:eastAsia="zh-CN"/>
        </w:rPr>
        <w:t>实现生产信息化；</w:t>
      </w:r>
    </w:p>
    <w:p>
      <w:pPr>
        <w:spacing w:line="360" w:lineRule="auto"/>
        <w:ind w:firstLine="480" w:firstLineChars="200"/>
        <w:rPr>
          <w:rFonts w:hint="eastAsia" w:ascii="仿宋_GB2312" w:hAnsi="宋体" w:eastAsia="仿宋_GB2312" w:cs="Times New Roman"/>
          <w:sz w:val="24"/>
        </w:rPr>
      </w:pPr>
      <w:r>
        <w:rPr>
          <w:rFonts w:hint="eastAsia" w:ascii="仿宋_GB2312" w:hAnsi="宋体" w:eastAsia="仿宋_GB2312" w:cs="Times New Roman"/>
          <w:sz w:val="24"/>
          <w:lang w:val="en-US" w:eastAsia="zh-CN"/>
        </w:rPr>
        <w:t>2）</w:t>
      </w:r>
      <w:r>
        <w:rPr>
          <w:rFonts w:hint="eastAsia" w:ascii="仿宋_GB2312" w:hAnsi="宋体" w:eastAsia="仿宋_GB2312" w:cs="Times New Roman"/>
          <w:sz w:val="24"/>
        </w:rPr>
        <w:t>采用德国全自动进口设备实现自动生产过程的可视化，智能化</w:t>
      </w:r>
      <w:r>
        <w:rPr>
          <w:rFonts w:hint="eastAsia" w:ascii="仿宋_GB2312" w:hAnsi="宋体" w:eastAsia="仿宋_GB2312" w:cs="Times New Roman"/>
          <w:sz w:val="24"/>
          <w:lang w:val="en-US" w:eastAsia="zh-CN"/>
        </w:rPr>
        <w:t>和自动化。</w:t>
      </w:r>
      <w:r>
        <w:rPr>
          <w:rFonts w:hint="eastAsia" w:ascii="仿宋_GB2312" w:hAnsi="宋体" w:eastAsia="仿宋_GB2312" w:cs="Times New Roman"/>
          <w:sz w:val="24"/>
        </w:rPr>
        <w:t>。</w:t>
      </w:r>
    </w:p>
    <w:p>
      <w:pPr>
        <w:pStyle w:val="10"/>
        <w:numPr>
          <w:ilvl w:val="0"/>
          <w:numId w:val="0"/>
        </w:numPr>
        <w:spacing w:before="312" w:after="312"/>
        <w:jc w:val="left"/>
        <w:rPr>
          <w:rFonts w:hAnsi="黑体"/>
          <w:sz w:val="24"/>
          <w:szCs w:val="24"/>
        </w:rPr>
      </w:pPr>
      <w:r>
        <w:rPr>
          <w:rFonts w:hint="eastAsia" w:hAnsi="黑体"/>
          <w:sz w:val="24"/>
          <w:szCs w:val="24"/>
        </w:rPr>
        <w:t>6  与现行相关法律、法规、规章及相关标准的协调性</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标准的制定符合国家有关的现行法律、法规和强制性标准的要求，与国家现行的环境保护政策、法规相辅相成。本标准的制定充分体现“浙江制造”标准“国内一流、国际先进”的定位，标准具有先进性，未有低于国标、行标和地方标准的情况。</w:t>
      </w:r>
    </w:p>
    <w:p>
      <w:pPr>
        <w:spacing w:line="500" w:lineRule="exact"/>
        <w:rPr>
          <w:rFonts w:ascii="黑体" w:hAnsi="黑体" w:eastAsia="黑体"/>
          <w:kern w:val="0"/>
          <w:sz w:val="24"/>
        </w:rPr>
      </w:pPr>
      <w:r>
        <w:rPr>
          <w:rFonts w:hint="eastAsia" w:ascii="黑体" w:hAnsi="黑体" w:eastAsia="黑体"/>
          <w:kern w:val="0"/>
          <w:sz w:val="24"/>
        </w:rPr>
        <w:t>6.1  目前国内主要执行的标准有：</w:t>
      </w:r>
    </w:p>
    <w:p>
      <w:pPr>
        <w:pStyle w:val="10"/>
        <w:numPr>
          <w:ilvl w:val="0"/>
          <w:numId w:val="0"/>
        </w:numPr>
        <w:spacing w:before="156" w:beforeLines="50" w:after="156" w:afterLines="50"/>
        <w:jc w:val="left"/>
        <w:rPr>
          <w:rFonts w:hAnsi="黑体"/>
          <w:sz w:val="24"/>
          <w:szCs w:val="24"/>
        </w:rPr>
      </w:pPr>
      <w:r>
        <w:rPr>
          <w:rFonts w:hint="eastAsia" w:hAnsi="黑体"/>
          <w:sz w:val="24"/>
          <w:szCs w:val="24"/>
        </w:rPr>
        <w:t>6.1 标准与有关强制性标准相冲突情况。</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本标准的制定符合国家有关的现行法律、法规和强制性标准的要求，与国家现行的环境保护政策、法规相辅相成。本标准的制定充分体现“浙江制造”标准“国内一流、国际先进”的定位，标准具有先进性，未有低于国标、行标和地方标准的情况。</w:t>
      </w:r>
    </w:p>
    <w:p>
      <w:pPr>
        <w:pStyle w:val="10"/>
        <w:numPr>
          <w:ilvl w:val="0"/>
          <w:numId w:val="0"/>
        </w:numPr>
        <w:spacing w:before="156" w:beforeLines="50" w:after="156" w:afterLines="50"/>
        <w:jc w:val="left"/>
        <w:rPr>
          <w:rFonts w:hAnsi="黑体"/>
          <w:sz w:val="24"/>
          <w:szCs w:val="24"/>
        </w:rPr>
      </w:pPr>
      <w:r>
        <w:rPr>
          <w:rFonts w:hint="eastAsia" w:hAnsi="黑体"/>
          <w:sz w:val="24"/>
          <w:szCs w:val="24"/>
        </w:rPr>
        <w:t>6.2 目前国内主要执行的标准有：</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目前国内</w:t>
      </w:r>
      <w:r>
        <w:rPr>
          <w:rFonts w:hint="eastAsia" w:ascii="仿宋_GB2312" w:hAnsi="宋体" w:eastAsia="仿宋_GB2312"/>
          <w:sz w:val="24"/>
          <w:lang w:val="en-US" w:eastAsia="zh-CN"/>
        </w:rPr>
        <w:t>无相关行业标准</w:t>
      </w:r>
      <w:r>
        <w:rPr>
          <w:rFonts w:hint="eastAsia" w:ascii="仿宋_GB2312" w:hAnsi="宋体" w:eastAsia="仿宋_GB2312"/>
          <w:sz w:val="24"/>
        </w:rPr>
        <w:t>。</w:t>
      </w:r>
    </w:p>
    <w:p>
      <w:pPr>
        <w:pStyle w:val="10"/>
        <w:numPr>
          <w:ilvl w:val="0"/>
          <w:numId w:val="0"/>
        </w:numPr>
        <w:spacing w:before="156" w:beforeLines="50" w:after="156" w:afterLines="50"/>
        <w:jc w:val="left"/>
        <w:rPr>
          <w:rFonts w:hAnsi="黑体"/>
          <w:sz w:val="24"/>
          <w:szCs w:val="24"/>
        </w:rPr>
      </w:pPr>
      <w:r>
        <w:rPr>
          <w:rFonts w:hint="eastAsia" w:hAnsi="黑体"/>
          <w:sz w:val="24"/>
          <w:szCs w:val="24"/>
        </w:rPr>
        <w:t>6.3 本标准引用了以下文件：</w:t>
      </w:r>
    </w:p>
    <w:p>
      <w:pPr>
        <w:pStyle w:val="12"/>
        <w:spacing w:line="360" w:lineRule="auto"/>
        <w:ind w:firstLine="480"/>
        <w:rPr>
          <w:rFonts w:ascii="仿宋_GB2312" w:hAnsi="宋体" w:eastAsia="仿宋_GB2312"/>
          <w:kern w:val="2"/>
          <w:sz w:val="24"/>
          <w:szCs w:val="24"/>
        </w:rPr>
      </w:pPr>
      <w:r>
        <w:rPr>
          <w:rFonts w:hint="eastAsia" w:ascii="仿宋_GB2312" w:hAnsi="宋体" w:eastAsia="仿宋_GB2312"/>
          <w:kern w:val="2"/>
          <w:sz w:val="24"/>
          <w:szCs w:val="24"/>
        </w:rPr>
        <w:t>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
        <w:spacing w:line="360" w:lineRule="auto"/>
        <w:ind w:firstLine="480"/>
        <w:rPr>
          <w:rFonts w:hint="eastAsia"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GB/T 1725-2007色漆、清漆和塑料  不挥发物含量的测定</w:t>
      </w:r>
    </w:p>
    <w:p>
      <w:pPr>
        <w:pStyle w:val="12"/>
        <w:spacing w:line="360" w:lineRule="auto"/>
        <w:ind w:firstLine="480"/>
        <w:rPr>
          <w:rFonts w:hint="eastAsia"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GB/T 3186-2006涂料产品的取样</w:t>
      </w:r>
    </w:p>
    <w:p>
      <w:pPr>
        <w:pStyle w:val="12"/>
        <w:spacing w:line="360" w:lineRule="auto"/>
        <w:ind w:firstLine="480"/>
        <w:rPr>
          <w:rFonts w:hint="eastAsia"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GB/T 6753.1-2007色漆、清漆和印刷油墨研磨细度的测定</w:t>
      </w:r>
    </w:p>
    <w:p>
      <w:pPr>
        <w:pStyle w:val="12"/>
        <w:spacing w:line="360" w:lineRule="auto"/>
        <w:ind w:firstLine="480"/>
        <w:rPr>
          <w:rFonts w:hint="default"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GB/T 9269-2009 涂料黏度的测定  斯托默黏度计法</w:t>
      </w:r>
    </w:p>
    <w:p>
      <w:pPr>
        <w:pStyle w:val="12"/>
        <w:spacing w:line="360" w:lineRule="auto"/>
        <w:ind w:firstLine="480"/>
        <w:rPr>
          <w:rFonts w:hint="eastAsia"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GB/T 13491涂料产品包装通则</w:t>
      </w:r>
    </w:p>
    <w:p>
      <w:pPr>
        <w:pStyle w:val="12"/>
        <w:spacing w:line="360" w:lineRule="auto"/>
        <w:ind w:firstLine="480"/>
        <w:rPr>
          <w:rFonts w:hint="eastAsia"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GB/T 17593-2006纺织品  重金属的测定</w:t>
      </w:r>
    </w:p>
    <w:p>
      <w:pPr>
        <w:pStyle w:val="12"/>
        <w:spacing w:line="360" w:lineRule="auto"/>
        <w:ind w:firstLine="480"/>
        <w:rPr>
          <w:rFonts w:hint="eastAsia"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GB 18582-2008室内装饰装修材料  内墙涂料中有害物质限量</w:t>
      </w:r>
    </w:p>
    <w:p>
      <w:pPr>
        <w:pStyle w:val="12"/>
        <w:spacing w:line="360" w:lineRule="auto"/>
        <w:ind w:firstLine="480"/>
        <w:rPr>
          <w:rFonts w:hint="eastAsia"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GB/T 19942-2005皮革和皮毛 化学实验 禁用偶氮染料的测定</w:t>
      </w:r>
    </w:p>
    <w:p>
      <w:pPr>
        <w:pStyle w:val="12"/>
        <w:spacing w:line="360" w:lineRule="auto"/>
        <w:ind w:firstLine="480"/>
        <w:rPr>
          <w:rFonts w:hint="eastAsia"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GB/T 23985-2009色漆和清漆  挥发性有机化合物（VOC）含量的测定  气相色谱法</w:t>
      </w:r>
    </w:p>
    <w:p>
      <w:pPr>
        <w:pStyle w:val="12"/>
        <w:spacing w:line="360" w:lineRule="auto"/>
        <w:ind w:firstLine="480"/>
        <w:rPr>
          <w:rFonts w:hint="default"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QB/T 4046-2010 聚氨酯超细纤维合成革通用安全技术条件</w:t>
      </w:r>
    </w:p>
    <w:p>
      <w:pPr>
        <w:pStyle w:val="12"/>
        <w:spacing w:line="360" w:lineRule="auto"/>
        <w:ind w:firstLine="480"/>
        <w:rPr>
          <w:rFonts w:hint="eastAsia" w:ascii="仿宋_GB2312" w:hAnsi="宋体" w:eastAsia="仿宋_GB2312"/>
          <w:kern w:val="2"/>
          <w:sz w:val="24"/>
          <w:szCs w:val="24"/>
          <w:lang w:val="en-US" w:eastAsia="zh-CN"/>
        </w:rPr>
      </w:pPr>
      <w:r>
        <w:rPr>
          <w:rFonts w:hint="eastAsia" w:ascii="仿宋_GB2312" w:hAnsi="宋体" w:eastAsia="仿宋_GB2312"/>
          <w:kern w:val="2"/>
          <w:sz w:val="24"/>
          <w:szCs w:val="24"/>
          <w:lang w:val="en-US" w:eastAsia="zh-CN"/>
        </w:rPr>
        <w:t>QB/T 4343-2012合成革用水性色浆</w:t>
      </w:r>
    </w:p>
    <w:p>
      <w:pPr>
        <w:pStyle w:val="10"/>
        <w:numPr>
          <w:ilvl w:val="0"/>
          <w:numId w:val="0"/>
        </w:numPr>
        <w:spacing w:before="312" w:after="312"/>
        <w:jc w:val="left"/>
        <w:rPr>
          <w:rFonts w:hAnsi="黑体"/>
          <w:sz w:val="24"/>
          <w:szCs w:val="24"/>
        </w:rPr>
      </w:pPr>
      <w:r>
        <w:rPr>
          <w:rFonts w:hint="eastAsia" w:hAnsi="黑体"/>
          <w:sz w:val="24"/>
          <w:szCs w:val="24"/>
        </w:rPr>
        <w:t>7  社会效益</w:t>
      </w:r>
    </w:p>
    <w:p>
      <w:pPr>
        <w:pStyle w:val="10"/>
        <w:numPr>
          <w:ilvl w:val="0"/>
          <w:numId w:val="0"/>
        </w:numPr>
        <w:spacing w:before="312" w:after="312" w:line="360" w:lineRule="auto"/>
        <w:ind w:firstLine="240" w:firstLineChars="100"/>
        <w:jc w:val="left"/>
        <w:rPr>
          <w:rFonts w:ascii="仿宋_GB2312" w:hAnsi="宋体" w:eastAsia="仿宋_GB2312"/>
          <w:kern w:val="2"/>
          <w:sz w:val="24"/>
          <w:szCs w:val="24"/>
        </w:rPr>
      </w:pPr>
      <w:r>
        <w:rPr>
          <w:rFonts w:hint="eastAsia" w:ascii="仿宋_GB2312" w:hAnsi="宋体" w:eastAsia="仿宋_GB2312"/>
          <w:kern w:val="2"/>
          <w:sz w:val="24"/>
          <w:szCs w:val="24"/>
        </w:rPr>
        <w:t>《</w:t>
      </w:r>
      <w:r>
        <w:rPr>
          <w:rFonts w:hint="eastAsia" w:ascii="仿宋_GB2312" w:hAnsi="宋体" w:eastAsia="仿宋_GB2312"/>
          <w:kern w:val="2"/>
          <w:sz w:val="24"/>
          <w:szCs w:val="24"/>
          <w:lang w:val="en-US" w:eastAsia="zh-CN"/>
        </w:rPr>
        <w:t>中性墨水用水性色浆</w:t>
      </w:r>
      <w:r>
        <w:rPr>
          <w:rFonts w:hint="eastAsia" w:ascii="仿宋_GB2312" w:hAnsi="宋体" w:eastAsia="仿宋_GB2312"/>
          <w:kern w:val="2"/>
          <w:sz w:val="24"/>
          <w:szCs w:val="24"/>
        </w:rPr>
        <w:t>》标准的提出弥补了行业标准</w:t>
      </w:r>
      <w:r>
        <w:rPr>
          <w:rFonts w:hint="eastAsia" w:ascii="仿宋_GB2312" w:hAnsi="宋体" w:eastAsia="仿宋_GB2312"/>
          <w:kern w:val="2"/>
          <w:sz w:val="24"/>
          <w:szCs w:val="24"/>
          <w:lang w:val="en-US" w:eastAsia="zh-CN"/>
        </w:rPr>
        <w:t>的空白，</w:t>
      </w:r>
      <w:r>
        <w:rPr>
          <w:rFonts w:hint="eastAsia" w:ascii="仿宋_GB2312" w:hAnsi="宋体" w:eastAsia="仿宋_GB2312"/>
          <w:kern w:val="2"/>
          <w:sz w:val="24"/>
          <w:szCs w:val="24"/>
        </w:rPr>
        <w:t>提供了质量把控依据，给市场上面料的品质提供了保障。</w:t>
      </w:r>
    </w:p>
    <w:p>
      <w:pPr>
        <w:pStyle w:val="10"/>
        <w:numPr>
          <w:ilvl w:val="0"/>
          <w:numId w:val="0"/>
        </w:numPr>
        <w:spacing w:before="312" w:after="312"/>
        <w:jc w:val="left"/>
        <w:rPr>
          <w:rFonts w:hAnsi="黑体"/>
          <w:sz w:val="24"/>
          <w:szCs w:val="24"/>
        </w:rPr>
      </w:pPr>
      <w:r>
        <w:rPr>
          <w:rFonts w:hint="eastAsia" w:hAnsi="黑体"/>
          <w:sz w:val="24"/>
          <w:szCs w:val="24"/>
        </w:rPr>
        <w:t>8  重大分歧意见的处理经过和依据</w:t>
      </w:r>
    </w:p>
    <w:p>
      <w:pPr>
        <w:spacing w:line="500" w:lineRule="exact"/>
        <w:ind w:firstLine="465"/>
        <w:rPr>
          <w:rFonts w:ascii="仿宋_GB2312" w:hAnsi="宋体" w:eastAsia="仿宋_GB2312"/>
          <w:color w:val="000000"/>
          <w:kern w:val="0"/>
          <w:sz w:val="24"/>
        </w:rPr>
      </w:pPr>
      <w:r>
        <w:rPr>
          <w:rFonts w:hint="eastAsia" w:ascii="仿宋_GB2312" w:hAnsi="宋体" w:eastAsia="仿宋_GB2312"/>
          <w:color w:val="000000"/>
          <w:kern w:val="0"/>
          <w:sz w:val="24"/>
        </w:rPr>
        <w:t>无</w:t>
      </w:r>
    </w:p>
    <w:p>
      <w:pPr>
        <w:pStyle w:val="10"/>
        <w:numPr>
          <w:ilvl w:val="0"/>
          <w:numId w:val="0"/>
        </w:numPr>
        <w:spacing w:before="312" w:after="312"/>
        <w:jc w:val="left"/>
        <w:rPr>
          <w:rFonts w:hAnsi="黑体"/>
          <w:sz w:val="24"/>
          <w:szCs w:val="24"/>
        </w:rPr>
      </w:pPr>
      <w:r>
        <w:rPr>
          <w:rFonts w:hint="eastAsia" w:hAnsi="黑体"/>
          <w:sz w:val="24"/>
          <w:szCs w:val="24"/>
        </w:rPr>
        <w:t>9  废止现行相关标准的建议</w:t>
      </w:r>
    </w:p>
    <w:p>
      <w:pPr>
        <w:spacing w:line="500" w:lineRule="exact"/>
        <w:ind w:firstLine="360" w:firstLineChars="150"/>
        <w:rPr>
          <w:rFonts w:ascii="仿宋_GB2312" w:hAnsi="宋体" w:eastAsia="仿宋_GB2312"/>
          <w:color w:val="000000"/>
          <w:kern w:val="0"/>
          <w:sz w:val="24"/>
        </w:rPr>
      </w:pPr>
      <w:r>
        <w:rPr>
          <w:rFonts w:hint="eastAsia" w:ascii="仿宋_GB2312" w:hAnsi="宋体" w:eastAsia="仿宋_GB2312"/>
          <w:color w:val="000000"/>
          <w:kern w:val="0"/>
          <w:sz w:val="24"/>
        </w:rPr>
        <w:t>无</w:t>
      </w:r>
    </w:p>
    <w:p>
      <w:pPr>
        <w:pStyle w:val="10"/>
        <w:numPr>
          <w:ilvl w:val="0"/>
          <w:numId w:val="0"/>
        </w:numPr>
        <w:spacing w:before="312" w:after="312"/>
        <w:jc w:val="left"/>
        <w:rPr>
          <w:rFonts w:hAnsi="黑体"/>
          <w:sz w:val="24"/>
          <w:szCs w:val="24"/>
        </w:rPr>
      </w:pPr>
      <w:r>
        <w:rPr>
          <w:rFonts w:hint="eastAsia" w:hAnsi="黑体"/>
          <w:sz w:val="24"/>
          <w:szCs w:val="24"/>
        </w:rPr>
        <w:t>10  提出标准强制实施或推荐实施的建议和理由</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本标准为浙江省品牌建设联合会团体标准。</w:t>
      </w:r>
    </w:p>
    <w:p>
      <w:pPr>
        <w:pStyle w:val="10"/>
        <w:numPr>
          <w:ilvl w:val="0"/>
          <w:numId w:val="0"/>
        </w:numPr>
        <w:spacing w:before="312" w:after="312"/>
        <w:jc w:val="left"/>
        <w:rPr>
          <w:rFonts w:hAnsi="黑体"/>
          <w:sz w:val="24"/>
          <w:szCs w:val="24"/>
        </w:rPr>
      </w:pPr>
      <w:r>
        <w:rPr>
          <w:rFonts w:hint="eastAsia" w:hAnsi="黑体"/>
          <w:sz w:val="24"/>
          <w:szCs w:val="24"/>
        </w:rPr>
        <w:t>11  贯彻标准的要求和措施建议</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已批准发布的“浙江制造”标准，文本由浙江省品牌建设联合会在官方网站（http://www.zhejiangmade.org.cn/）上全文公布，供社会免费查阅。</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标准主要起草单位将在全国团体标准信息平台（http://www.ttbz.org.cn/）上自我声明采用本标准，其他采用本标准的单位也应在信息平台上进行自我声明。</w:t>
      </w:r>
    </w:p>
    <w:p>
      <w:pPr>
        <w:pStyle w:val="10"/>
        <w:numPr>
          <w:ilvl w:val="0"/>
          <w:numId w:val="0"/>
        </w:numPr>
        <w:spacing w:before="312" w:after="312"/>
        <w:jc w:val="left"/>
        <w:rPr>
          <w:rFonts w:hAnsi="黑体"/>
          <w:sz w:val="24"/>
          <w:szCs w:val="24"/>
        </w:rPr>
      </w:pPr>
      <w:r>
        <w:rPr>
          <w:rFonts w:hint="eastAsia" w:hAnsi="黑体"/>
          <w:sz w:val="24"/>
          <w:szCs w:val="24"/>
        </w:rPr>
        <w:t>12  其他应予说明的事项</w:t>
      </w:r>
    </w:p>
    <w:p>
      <w:pPr>
        <w:tabs>
          <w:tab w:val="left" w:pos="2160"/>
        </w:tabs>
        <w:spacing w:line="360" w:lineRule="auto"/>
        <w:ind w:firstLine="480" w:firstLineChars="200"/>
        <w:rPr>
          <w:rFonts w:ascii="仿宋_GB2312" w:hAnsi="宋体" w:eastAsia="仿宋_GB2312"/>
          <w:sz w:val="24"/>
        </w:rPr>
      </w:pPr>
      <w:r>
        <w:rPr>
          <w:rFonts w:hint="eastAsia" w:ascii="仿宋_GB2312" w:hAnsi="宋体" w:eastAsia="仿宋_GB2312"/>
          <w:sz w:val="24"/>
        </w:rPr>
        <w:t>标准中无相关涉及专利的说明。</w:t>
      </w:r>
    </w:p>
    <w:p>
      <w:pPr>
        <w:spacing w:line="500" w:lineRule="exact"/>
        <w:ind w:firstLine="480"/>
        <w:rPr>
          <w:rFonts w:ascii="仿宋_GB2312" w:eastAsia="仿宋_GB2312"/>
          <w:sz w:val="24"/>
        </w:rPr>
      </w:pPr>
    </w:p>
    <w:p>
      <w:pPr>
        <w:tabs>
          <w:tab w:val="left" w:pos="2160"/>
        </w:tabs>
        <w:spacing w:line="360" w:lineRule="auto"/>
        <w:ind w:firstLine="480" w:firstLineChars="200"/>
        <w:jc w:val="right"/>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kern w:val="2"/>
          <w:sz w:val="24"/>
          <w:szCs w:val="24"/>
          <w:lang w:val="en-US" w:eastAsia="zh-CN"/>
        </w:rPr>
        <w:t>中性墨水用水性色浆</w:t>
      </w:r>
      <w:r>
        <w:rPr>
          <w:rFonts w:hint="eastAsia" w:ascii="仿宋_GB2312" w:hAnsi="宋体" w:eastAsia="仿宋_GB2312"/>
          <w:sz w:val="24"/>
        </w:rPr>
        <w:t>》标准研制工作组</w:t>
      </w:r>
    </w:p>
    <w:p>
      <w:pPr>
        <w:tabs>
          <w:tab w:val="left" w:pos="2160"/>
        </w:tabs>
        <w:spacing w:line="360" w:lineRule="auto"/>
        <w:ind w:firstLine="480" w:firstLineChars="200"/>
        <w:jc w:val="right"/>
        <w:rPr>
          <w:rFonts w:ascii="仿宋_GB2312" w:hAnsi="宋体" w:eastAsia="仿宋_GB2312"/>
          <w:color w:val="0000FF"/>
          <w:sz w:val="24"/>
        </w:rPr>
      </w:pPr>
      <w:r>
        <w:rPr>
          <w:rFonts w:hint="eastAsia" w:ascii="仿宋_GB2312" w:hAnsi="宋体" w:eastAsia="仿宋_GB2312"/>
          <w:sz w:val="24"/>
        </w:rPr>
        <w:t>2021年</w:t>
      </w:r>
      <w:r>
        <w:rPr>
          <w:rFonts w:hint="eastAsia" w:ascii="仿宋_GB2312" w:hAnsi="宋体" w:eastAsia="仿宋_GB2312"/>
          <w:sz w:val="24"/>
          <w:lang w:val="en-US" w:eastAsia="zh-CN"/>
        </w:rPr>
        <w:t>8</w:t>
      </w:r>
      <w:r>
        <w:rPr>
          <w:rFonts w:hint="eastAsia" w:ascii="仿宋_GB2312" w:hAnsi="宋体" w:eastAsia="仿宋_GB2312"/>
          <w:sz w:val="24"/>
        </w:rPr>
        <w:t>月</w:t>
      </w:r>
      <w:r>
        <w:rPr>
          <w:rFonts w:hint="eastAsia" w:ascii="仿宋_GB2312" w:hAnsi="宋体" w:eastAsia="仿宋_GB2312"/>
          <w:sz w:val="24"/>
          <w:lang w:val="en-US" w:eastAsia="zh-CN"/>
        </w:rPr>
        <w:t>8</w:t>
      </w:r>
      <w:r>
        <w:rPr>
          <w:rFonts w:hint="eastAsia" w:ascii="仿宋_GB2312" w:hAnsi="宋体" w:eastAsia="仿宋_GB2312"/>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922129"/>
    </w:sdtPr>
    <w:sdtContent>
      <w:p>
        <w:pPr>
          <w:pStyle w:val="4"/>
          <w:jc w:val="center"/>
        </w:pPr>
        <w:r>
          <w:fldChar w:fldCharType="begin"/>
        </w:r>
        <w:r>
          <w:instrText xml:space="preserve">PAGE   \* MERGEFORMAT</w:instrText>
        </w:r>
        <w:r>
          <w:fldChar w:fldCharType="separate"/>
        </w:r>
        <w:r>
          <w:rPr>
            <w:lang w:val="zh-CN"/>
          </w:rPr>
          <w:t>15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171DE"/>
    <w:multiLevelType w:val="singleLevel"/>
    <w:tmpl w:val="DE9171DE"/>
    <w:lvl w:ilvl="0" w:tentative="0">
      <w:start w:val="1"/>
      <w:numFmt w:val="decimal"/>
      <w:suff w:val="nothing"/>
      <w:lvlText w:val="%1）"/>
      <w:lvlJc w:val="left"/>
    </w:lvl>
  </w:abstractNum>
  <w:abstractNum w:abstractNumId="1">
    <w:nsid w:val="EB4BDA8A"/>
    <w:multiLevelType w:val="singleLevel"/>
    <w:tmpl w:val="EB4BDA8A"/>
    <w:lvl w:ilvl="0" w:tentative="0">
      <w:start w:val="1"/>
      <w:numFmt w:val="upperLetter"/>
      <w:pStyle w:val="10"/>
      <w:lvlText w:val="%1."/>
      <w:lvlJc w:val="left"/>
      <w:pPr>
        <w:tabs>
          <w:tab w:val="left" w:pos="0"/>
        </w:tabs>
        <w:ind w:left="454" w:hanging="454"/>
      </w:pPr>
    </w:lvl>
  </w:abstractNum>
  <w:abstractNum w:abstractNumId="2">
    <w:nsid w:val="49E15960"/>
    <w:multiLevelType w:val="multilevel"/>
    <w:tmpl w:val="49E15960"/>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C8026D9"/>
    <w:multiLevelType w:val="singleLevel"/>
    <w:tmpl w:val="7C8026D9"/>
    <w:lvl w:ilvl="0" w:tentative="0">
      <w:start w:val="1"/>
      <w:numFmt w:val="decimal"/>
      <w:suff w:val="nothing"/>
      <w:lvlText w:val="%1）"/>
      <w:lvlJc w:val="left"/>
    </w:lvl>
  </w:abstractNum>
  <w:num w:numId="1">
    <w:abstractNumId w:val="1"/>
    <w:lvlOverride w:ilvl="0">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48"/>
    <w:rsid w:val="00003138"/>
    <w:rsid w:val="00007B5B"/>
    <w:rsid w:val="00033221"/>
    <w:rsid w:val="00080507"/>
    <w:rsid w:val="00080B56"/>
    <w:rsid w:val="00087D09"/>
    <w:rsid w:val="000A5DE0"/>
    <w:rsid w:val="000C3551"/>
    <w:rsid w:val="000C4ECD"/>
    <w:rsid w:val="000F0F1A"/>
    <w:rsid w:val="000F2292"/>
    <w:rsid w:val="00134CAA"/>
    <w:rsid w:val="00146F44"/>
    <w:rsid w:val="00180F48"/>
    <w:rsid w:val="00193CD1"/>
    <w:rsid w:val="001A664D"/>
    <w:rsid w:val="001C2D79"/>
    <w:rsid w:val="001C324A"/>
    <w:rsid w:val="001F7672"/>
    <w:rsid w:val="0020582D"/>
    <w:rsid w:val="00237D01"/>
    <w:rsid w:val="002505F4"/>
    <w:rsid w:val="00295814"/>
    <w:rsid w:val="00297C1C"/>
    <w:rsid w:val="002F17D7"/>
    <w:rsid w:val="00344F25"/>
    <w:rsid w:val="00347AEB"/>
    <w:rsid w:val="003526ED"/>
    <w:rsid w:val="00363015"/>
    <w:rsid w:val="0037430D"/>
    <w:rsid w:val="00396354"/>
    <w:rsid w:val="003D4B0D"/>
    <w:rsid w:val="003E6E77"/>
    <w:rsid w:val="003F7301"/>
    <w:rsid w:val="00400930"/>
    <w:rsid w:val="00403D5A"/>
    <w:rsid w:val="0041289D"/>
    <w:rsid w:val="00426B58"/>
    <w:rsid w:val="004676A9"/>
    <w:rsid w:val="004742A6"/>
    <w:rsid w:val="004916D8"/>
    <w:rsid w:val="004B654C"/>
    <w:rsid w:val="004D4881"/>
    <w:rsid w:val="004E07D9"/>
    <w:rsid w:val="004F085C"/>
    <w:rsid w:val="0051003A"/>
    <w:rsid w:val="00554FF0"/>
    <w:rsid w:val="00557014"/>
    <w:rsid w:val="00563BA8"/>
    <w:rsid w:val="0058242A"/>
    <w:rsid w:val="005859B5"/>
    <w:rsid w:val="006216DE"/>
    <w:rsid w:val="006243F2"/>
    <w:rsid w:val="006D01D3"/>
    <w:rsid w:val="006D6E26"/>
    <w:rsid w:val="006E48DF"/>
    <w:rsid w:val="00712007"/>
    <w:rsid w:val="00724B02"/>
    <w:rsid w:val="00735E53"/>
    <w:rsid w:val="0076613F"/>
    <w:rsid w:val="007812DF"/>
    <w:rsid w:val="00796B3D"/>
    <w:rsid w:val="007B3623"/>
    <w:rsid w:val="00812434"/>
    <w:rsid w:val="00831C78"/>
    <w:rsid w:val="008326AC"/>
    <w:rsid w:val="0083408A"/>
    <w:rsid w:val="00837A03"/>
    <w:rsid w:val="00876D49"/>
    <w:rsid w:val="00880DB3"/>
    <w:rsid w:val="00883AFA"/>
    <w:rsid w:val="008854C2"/>
    <w:rsid w:val="008967BB"/>
    <w:rsid w:val="00896974"/>
    <w:rsid w:val="008C47C8"/>
    <w:rsid w:val="00920A27"/>
    <w:rsid w:val="009216FA"/>
    <w:rsid w:val="00922810"/>
    <w:rsid w:val="00934654"/>
    <w:rsid w:val="00942694"/>
    <w:rsid w:val="009443CB"/>
    <w:rsid w:val="00962048"/>
    <w:rsid w:val="009624E1"/>
    <w:rsid w:val="009634F8"/>
    <w:rsid w:val="00983FE0"/>
    <w:rsid w:val="009B6ACB"/>
    <w:rsid w:val="009D3388"/>
    <w:rsid w:val="009F46E8"/>
    <w:rsid w:val="00A07F30"/>
    <w:rsid w:val="00A17B9A"/>
    <w:rsid w:val="00A45383"/>
    <w:rsid w:val="00A539A9"/>
    <w:rsid w:val="00A60BE5"/>
    <w:rsid w:val="00A85F64"/>
    <w:rsid w:val="00A9326A"/>
    <w:rsid w:val="00AA0BEB"/>
    <w:rsid w:val="00AA5A27"/>
    <w:rsid w:val="00AD3C57"/>
    <w:rsid w:val="00AF3A83"/>
    <w:rsid w:val="00AF666C"/>
    <w:rsid w:val="00B00D4C"/>
    <w:rsid w:val="00B06C1F"/>
    <w:rsid w:val="00B16AC5"/>
    <w:rsid w:val="00B3574A"/>
    <w:rsid w:val="00B4170F"/>
    <w:rsid w:val="00B44B54"/>
    <w:rsid w:val="00B771CB"/>
    <w:rsid w:val="00B82961"/>
    <w:rsid w:val="00B87634"/>
    <w:rsid w:val="00BA7D7D"/>
    <w:rsid w:val="00BD74FA"/>
    <w:rsid w:val="00BE3E4A"/>
    <w:rsid w:val="00BF7804"/>
    <w:rsid w:val="00C02B79"/>
    <w:rsid w:val="00C24D51"/>
    <w:rsid w:val="00C30FAF"/>
    <w:rsid w:val="00C31BC9"/>
    <w:rsid w:val="00C70872"/>
    <w:rsid w:val="00CA7ED7"/>
    <w:rsid w:val="00D36571"/>
    <w:rsid w:val="00D93FF4"/>
    <w:rsid w:val="00DC4E8C"/>
    <w:rsid w:val="00DE47A2"/>
    <w:rsid w:val="00DE62F1"/>
    <w:rsid w:val="00DF11CA"/>
    <w:rsid w:val="00DF2ABE"/>
    <w:rsid w:val="00E01814"/>
    <w:rsid w:val="00E30957"/>
    <w:rsid w:val="00E676BD"/>
    <w:rsid w:val="00EA612F"/>
    <w:rsid w:val="00EB5BC6"/>
    <w:rsid w:val="00EB6D80"/>
    <w:rsid w:val="00EC2F29"/>
    <w:rsid w:val="00ED40B5"/>
    <w:rsid w:val="00F36343"/>
    <w:rsid w:val="00F46127"/>
    <w:rsid w:val="00F512C8"/>
    <w:rsid w:val="00F51808"/>
    <w:rsid w:val="00F74E3C"/>
    <w:rsid w:val="00FA251A"/>
    <w:rsid w:val="00FA397E"/>
    <w:rsid w:val="00FA4217"/>
    <w:rsid w:val="00FA7439"/>
    <w:rsid w:val="00FB371E"/>
    <w:rsid w:val="00FC3A9C"/>
    <w:rsid w:val="00FF7A2F"/>
    <w:rsid w:val="012F5520"/>
    <w:rsid w:val="01301C2F"/>
    <w:rsid w:val="02A406DB"/>
    <w:rsid w:val="04F87495"/>
    <w:rsid w:val="05853FDE"/>
    <w:rsid w:val="0BE82A51"/>
    <w:rsid w:val="0DBA3D76"/>
    <w:rsid w:val="0E1E5C26"/>
    <w:rsid w:val="10B82FC8"/>
    <w:rsid w:val="112C0B5F"/>
    <w:rsid w:val="11E921B0"/>
    <w:rsid w:val="122F7C2C"/>
    <w:rsid w:val="12DA66EC"/>
    <w:rsid w:val="13117E16"/>
    <w:rsid w:val="167858C4"/>
    <w:rsid w:val="169661BD"/>
    <w:rsid w:val="19F03CFF"/>
    <w:rsid w:val="1D5B4F54"/>
    <w:rsid w:val="1E441F77"/>
    <w:rsid w:val="1F4E3279"/>
    <w:rsid w:val="2056423F"/>
    <w:rsid w:val="21773D7A"/>
    <w:rsid w:val="22846C17"/>
    <w:rsid w:val="23E56D7D"/>
    <w:rsid w:val="23FE23BA"/>
    <w:rsid w:val="278C597B"/>
    <w:rsid w:val="28601706"/>
    <w:rsid w:val="28BC29B5"/>
    <w:rsid w:val="299938F7"/>
    <w:rsid w:val="2BE67804"/>
    <w:rsid w:val="2BFC6B19"/>
    <w:rsid w:val="2C17781A"/>
    <w:rsid w:val="2D4E5E73"/>
    <w:rsid w:val="2DA1183E"/>
    <w:rsid w:val="2DF4189A"/>
    <w:rsid w:val="30A538AC"/>
    <w:rsid w:val="30FC42A9"/>
    <w:rsid w:val="32C3778F"/>
    <w:rsid w:val="33A646DB"/>
    <w:rsid w:val="34F21181"/>
    <w:rsid w:val="351E3003"/>
    <w:rsid w:val="351F2ABF"/>
    <w:rsid w:val="36265AA4"/>
    <w:rsid w:val="385E5C3D"/>
    <w:rsid w:val="396E26F8"/>
    <w:rsid w:val="3A582CBB"/>
    <w:rsid w:val="3BB64DA0"/>
    <w:rsid w:val="3F5A6C55"/>
    <w:rsid w:val="3FB10629"/>
    <w:rsid w:val="3FE150E5"/>
    <w:rsid w:val="3FF332E8"/>
    <w:rsid w:val="401E1246"/>
    <w:rsid w:val="40A46027"/>
    <w:rsid w:val="418B716B"/>
    <w:rsid w:val="43AE57C8"/>
    <w:rsid w:val="443A4827"/>
    <w:rsid w:val="451037EC"/>
    <w:rsid w:val="46380221"/>
    <w:rsid w:val="46686BA9"/>
    <w:rsid w:val="47816DBA"/>
    <w:rsid w:val="48732B14"/>
    <w:rsid w:val="4A1875F7"/>
    <w:rsid w:val="4A9905A1"/>
    <w:rsid w:val="4AEE716F"/>
    <w:rsid w:val="4BAC4521"/>
    <w:rsid w:val="4CE21587"/>
    <w:rsid w:val="4EFC4BE0"/>
    <w:rsid w:val="4FEE029E"/>
    <w:rsid w:val="52E66F2F"/>
    <w:rsid w:val="54195BEC"/>
    <w:rsid w:val="542E4ECF"/>
    <w:rsid w:val="56765154"/>
    <w:rsid w:val="56BD447B"/>
    <w:rsid w:val="56EF053B"/>
    <w:rsid w:val="56F476E3"/>
    <w:rsid w:val="599A4607"/>
    <w:rsid w:val="5B3E5BA1"/>
    <w:rsid w:val="5C1C577A"/>
    <w:rsid w:val="5C8B0F15"/>
    <w:rsid w:val="5F05573D"/>
    <w:rsid w:val="5F4547CB"/>
    <w:rsid w:val="5F9C60CB"/>
    <w:rsid w:val="5FD1473A"/>
    <w:rsid w:val="63CB7896"/>
    <w:rsid w:val="641C2F86"/>
    <w:rsid w:val="64596EAC"/>
    <w:rsid w:val="64790B2C"/>
    <w:rsid w:val="64AB17DA"/>
    <w:rsid w:val="65EE62D5"/>
    <w:rsid w:val="662720DB"/>
    <w:rsid w:val="67D15973"/>
    <w:rsid w:val="67F66E6C"/>
    <w:rsid w:val="68454530"/>
    <w:rsid w:val="68F50722"/>
    <w:rsid w:val="69415875"/>
    <w:rsid w:val="6ACE0AED"/>
    <w:rsid w:val="6C2D6033"/>
    <w:rsid w:val="6C330AFB"/>
    <w:rsid w:val="6D9753AF"/>
    <w:rsid w:val="6E14127E"/>
    <w:rsid w:val="6F0C0811"/>
    <w:rsid w:val="71BD69BB"/>
    <w:rsid w:val="720A17D1"/>
    <w:rsid w:val="74537F52"/>
    <w:rsid w:val="74B03E28"/>
    <w:rsid w:val="75822809"/>
    <w:rsid w:val="76C621DB"/>
    <w:rsid w:val="77AB28E1"/>
    <w:rsid w:val="77DC5E02"/>
    <w:rsid w:val="79F118D1"/>
    <w:rsid w:val="7DED54C5"/>
    <w:rsid w:val="7E8C66D5"/>
    <w:rsid w:val="7F3452F5"/>
    <w:rsid w:val="7F6E5334"/>
    <w:rsid w:val="7F9856CC"/>
    <w:rsid w:val="FD75D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24"/>
    <w:unhideWhenUsed/>
    <w:qFormat/>
    <w:uiPriority w:val="99"/>
    <w:pPr>
      <w:spacing w:after="120"/>
    </w:pPr>
  </w:style>
  <w:style w:type="paragraph" w:styleId="3">
    <w:name w:val="Balloon Text"/>
    <w:basedOn w:val="1"/>
    <w:link w:val="15"/>
    <w:unhideWhenUsed/>
    <w:qFormat/>
    <w:uiPriority w:val="99"/>
    <w:rPr>
      <w:sz w:val="18"/>
      <w:szCs w:val="18"/>
    </w:rPr>
  </w:style>
  <w:style w:type="paragraph" w:styleId="4">
    <w:name w:val="footer"/>
    <w:basedOn w:val="1"/>
    <w:link w:val="29"/>
    <w:qFormat/>
    <w:uiPriority w:val="99"/>
    <w:pPr>
      <w:tabs>
        <w:tab w:val="center" w:pos="4153"/>
        <w:tab w:val="right" w:pos="8306"/>
      </w:tabs>
      <w:snapToGrid w:val="0"/>
      <w:jc w:val="left"/>
    </w:pPr>
    <w:rPr>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1">
    <w:name w:val="一级条标题"/>
    <w:next w:val="12"/>
    <w:qFormat/>
    <w:uiPriority w:val="0"/>
    <w:p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12">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二级条标题"/>
    <w:basedOn w:val="11"/>
    <w:next w:val="12"/>
    <w:link w:val="27"/>
    <w:qFormat/>
    <w:uiPriority w:val="0"/>
    <w:pPr>
      <w:spacing w:before="50" w:after="50"/>
      <w:outlineLvl w:val="3"/>
    </w:pPr>
    <w:rPr>
      <w:rFonts w:ascii="Times New Roman" w:eastAsia="宋体"/>
    </w:rPr>
  </w:style>
  <w:style w:type="paragraph" w:customStyle="1" w:styleId="14">
    <w:name w:val="三级条标题"/>
    <w:basedOn w:val="1"/>
    <w:next w:val="12"/>
    <w:qFormat/>
    <w:uiPriority w:val="0"/>
    <w:pPr>
      <w:numPr>
        <w:ilvl w:val="3"/>
        <w:numId w:val="2"/>
      </w:numPr>
    </w:p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customStyle="1" w:styleId="16">
    <w:name w:val="前言、引言标题"/>
    <w:next w:val="1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
    <w:name w:val="Table Paragraph"/>
    <w:basedOn w:val="1"/>
    <w:qFormat/>
    <w:uiPriority w:val="0"/>
    <w:pPr>
      <w:spacing w:before="160"/>
      <w:jc w:val="center"/>
    </w:pPr>
    <w:rPr>
      <w:rFonts w:ascii="宋体" w:hAnsi="宋体" w:cs="宋体"/>
      <w:lang w:val="zh-CN" w:bidi="zh-CN"/>
    </w:rPr>
  </w:style>
  <w:style w:type="paragraph" w:customStyle="1" w:styleId="20">
    <w:name w:val="四级条标题"/>
    <w:basedOn w:val="1"/>
    <w:next w:val="12"/>
    <w:qFormat/>
    <w:uiPriority w:val="0"/>
    <w:pPr>
      <w:widowControl/>
      <w:tabs>
        <w:tab w:val="left" w:pos="0"/>
      </w:tabs>
      <w:spacing w:beforeLines="50" w:afterLines="50"/>
      <w:ind w:left="315"/>
      <w:jc w:val="left"/>
      <w:outlineLvl w:val="5"/>
    </w:pPr>
    <w:rPr>
      <w:kern w:val="0"/>
      <w:szCs w:val="21"/>
    </w:rPr>
  </w:style>
  <w:style w:type="paragraph" w:customStyle="1" w:styleId="21">
    <w:name w:val="五级条标题"/>
    <w:basedOn w:val="20"/>
    <w:next w:val="12"/>
    <w:qFormat/>
    <w:uiPriority w:val="0"/>
    <w:pPr>
      <w:ind w:left="0"/>
      <w:outlineLvl w:val="6"/>
    </w:pPr>
  </w:style>
  <w:style w:type="paragraph" w:customStyle="1" w:styleId="22">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kern w:val="0"/>
      <w:szCs w:val="28"/>
    </w:rPr>
  </w:style>
  <w:style w:type="paragraph" w:customStyle="1" w:styleId="23">
    <w:name w:val="WW-Table Contents11111111111111111111"/>
    <w:basedOn w:val="2"/>
    <w:qFormat/>
    <w:uiPriority w:val="0"/>
    <w:pPr>
      <w:suppressLineNumbers/>
      <w:suppressAutoHyphens/>
      <w:jc w:val="left"/>
    </w:pPr>
    <w:rPr>
      <w:rFonts w:eastAsia="Lucida Sans Unicode"/>
      <w:kern w:val="0"/>
      <w:sz w:val="24"/>
      <w:szCs w:val="20"/>
    </w:rPr>
  </w:style>
  <w:style w:type="character" w:customStyle="1" w:styleId="24">
    <w:name w:val="正文文本 字符"/>
    <w:basedOn w:val="9"/>
    <w:link w:val="2"/>
    <w:semiHidden/>
    <w:qFormat/>
    <w:uiPriority w:val="99"/>
    <w:rPr>
      <w:kern w:val="2"/>
      <w:sz w:val="21"/>
      <w:szCs w:val="24"/>
    </w:rPr>
  </w:style>
  <w:style w:type="paragraph" w:customStyle="1" w:styleId="25">
    <w:name w:val="二级无"/>
    <w:basedOn w:val="13"/>
    <w:qFormat/>
    <w:uiPriority w:val="0"/>
    <w:pPr>
      <w:tabs>
        <w:tab w:val="left" w:pos="283"/>
      </w:tabs>
      <w:spacing w:beforeLines="0" w:afterLines="0"/>
    </w:pPr>
    <w:rPr>
      <w:rFonts w:ascii="宋体" w:hAnsi="宋体"/>
    </w:rPr>
  </w:style>
  <w:style w:type="character" w:customStyle="1" w:styleId="26">
    <w:name w:val="段 Char"/>
    <w:link w:val="12"/>
    <w:qFormat/>
    <w:uiPriority w:val="0"/>
    <w:rPr>
      <w:rFonts w:ascii="宋体"/>
      <w:sz w:val="21"/>
    </w:rPr>
  </w:style>
  <w:style w:type="character" w:customStyle="1" w:styleId="27">
    <w:name w:val="二级条标题 Char"/>
    <w:link w:val="13"/>
    <w:qFormat/>
    <w:uiPriority w:val="0"/>
    <w:rPr>
      <w:sz w:val="21"/>
      <w:szCs w:val="21"/>
    </w:rPr>
  </w:style>
  <w:style w:type="paragraph" w:customStyle="1" w:styleId="28">
    <w:name w:val="列出段落1"/>
    <w:basedOn w:val="1"/>
    <w:unhideWhenUsed/>
    <w:qFormat/>
    <w:uiPriority w:val="99"/>
    <w:pPr>
      <w:ind w:firstLine="420" w:firstLineChars="200"/>
    </w:pPr>
  </w:style>
  <w:style w:type="character" w:customStyle="1" w:styleId="29">
    <w:name w:val="页脚 字符"/>
    <w:basedOn w:val="9"/>
    <w:link w:val="4"/>
    <w:qFormat/>
    <w:uiPriority w:val="99"/>
    <w:rPr>
      <w:rFonts w:ascii="Times New Roman" w:hAnsi="Times New Roman"/>
      <w:sz w:val="18"/>
      <w:szCs w:val="18"/>
    </w:rPr>
  </w:style>
  <w:style w:type="paragraph" w:styleId="30">
    <w:name w:val="List Paragraph"/>
    <w:basedOn w:val="1"/>
    <w:qFormat/>
    <w:uiPriority w:val="34"/>
    <w:pPr>
      <w:ind w:firstLine="420" w:firstLineChars="200"/>
    </w:pPr>
  </w:style>
  <w:style w:type="paragraph" w:customStyle="1" w:styleId="31">
    <w:name w:val="三级无"/>
    <w:basedOn w:val="14"/>
    <w:qFormat/>
    <w:uiPriority w:val="0"/>
    <w:rPr>
      <w:rFonts w:ascii="宋体"/>
    </w:rPr>
  </w:style>
  <w:style w:type="paragraph" w:customStyle="1" w:styleId="32">
    <w:name w:val="一级无"/>
    <w:basedOn w:val="11"/>
    <w:qFormat/>
    <w:uiPriority w:val="0"/>
    <w:pPr>
      <w:spacing w:beforeLines="0" w:afterLines="0"/>
    </w:pPr>
    <w:rPr>
      <w:rFonts w:ascii="宋体" w:eastAsia="宋体"/>
    </w:rPr>
  </w:style>
  <w:style w:type="paragraph" w:customStyle="1" w:styleId="33">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1553</Words>
  <Characters>8853</Characters>
  <Lines>73</Lines>
  <Paragraphs>20</Paragraphs>
  <TotalTime>0</TotalTime>
  <ScaleCrop>false</ScaleCrop>
  <LinksUpToDate>false</LinksUpToDate>
  <CharactersWithSpaces>10386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2021-06-05T09:20:00Z</dcterms:created>
  <dc:creator>dell</dc:creator>
  <cp:lastModifiedBy>向阳花开</cp:lastModifiedBy>
  <cp:lastPrinted>2020-11-16T15:32:00Z</cp:lastPrinted>
  <dcterms:modified xsi:type="dcterms:W3CDTF">2021-08-08T14:07:57Z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A11558E4B9E0450480729428A04E67CF</vt:lpwstr>
  </property>
</Properties>
</file>